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00" w:beforeAutospacing="1" w:after="100" w:afterLines="0" w:afterAutospacing="1"/>
        <w:jc w:val="center"/>
        <w:rPr>
          <w:rFonts w:hint="eastAsia"/>
          <w:b/>
          <w:spacing w:val="-4"/>
          <w:sz w:val="96"/>
          <w:lang w:val="en-US" w:eastAsia="zh-CN"/>
        </w:rPr>
      </w:pPr>
    </w:p>
    <w:p>
      <w:pPr>
        <w:pStyle w:val="5"/>
        <w:spacing w:before="100" w:beforeAutospacing="1" w:after="100" w:afterLines="0" w:afterAutospacing="1"/>
        <w:jc w:val="center"/>
        <w:rPr>
          <w:b/>
          <w:spacing w:val="-4"/>
          <w:sz w:val="96"/>
        </w:rPr>
      </w:pPr>
      <w:r>
        <w:rPr>
          <w:rFonts w:hint="eastAsia"/>
          <w:b/>
          <w:spacing w:val="-4"/>
          <w:sz w:val="96"/>
          <w:lang w:val="en-US" w:eastAsia="zh-CN"/>
        </w:rPr>
        <w:t>岳阳市</w:t>
      </w:r>
      <w:r>
        <w:rPr>
          <w:rFonts w:hint="eastAsia"/>
          <w:b/>
          <w:spacing w:val="-4"/>
          <w:sz w:val="96"/>
        </w:rPr>
        <w:t>文明</w:t>
      </w:r>
      <w:r>
        <w:rPr>
          <w:rFonts w:hint="eastAsia"/>
          <w:b/>
          <w:spacing w:val="-4"/>
          <w:sz w:val="96"/>
          <w:lang w:val="en-US" w:eastAsia="zh-CN"/>
        </w:rPr>
        <w:t>社区（小区）</w:t>
      </w:r>
      <w:r>
        <w:rPr>
          <w:rFonts w:hint="eastAsia"/>
          <w:b/>
          <w:spacing w:val="-4"/>
          <w:sz w:val="96"/>
        </w:rPr>
        <w:t>测评细则</w:t>
      </w:r>
    </w:p>
    <w:p>
      <w:pPr>
        <w:adjustRightInd w:val="0"/>
        <w:snapToGrid w:val="0"/>
        <w:jc w:val="center"/>
        <w:rPr>
          <w:rFonts w:eastAsia="黑体"/>
          <w:sz w:val="64"/>
          <w:szCs w:val="24"/>
        </w:rPr>
      </w:pPr>
      <w:r>
        <w:rPr>
          <w:rFonts w:hint="eastAsia" w:eastAsia="黑体"/>
          <w:sz w:val="64"/>
          <w:szCs w:val="24"/>
        </w:rPr>
        <w:t>（20</w:t>
      </w:r>
      <w:r>
        <w:rPr>
          <w:rFonts w:eastAsia="黑体"/>
          <w:sz w:val="64"/>
          <w:szCs w:val="24"/>
        </w:rPr>
        <w:t>2</w:t>
      </w:r>
      <w:r>
        <w:rPr>
          <w:rFonts w:hint="eastAsia" w:eastAsia="黑体"/>
          <w:sz w:val="64"/>
          <w:szCs w:val="24"/>
        </w:rPr>
        <w:t>2年版）</w:t>
      </w:r>
    </w:p>
    <w:p>
      <w:pPr>
        <w:pStyle w:val="2"/>
        <w:ind w:left="420"/>
        <w:jc w:val="center"/>
        <w:rPr>
          <w:rFonts w:ascii="宋体" w:hAnsi="宋体"/>
          <w:b/>
          <w:bCs/>
        </w:rPr>
      </w:pPr>
    </w:p>
    <w:p>
      <w:pPr>
        <w:pStyle w:val="2"/>
        <w:ind w:left="420"/>
        <w:jc w:val="center"/>
        <w:rPr>
          <w:rFonts w:hint="eastAsia" w:ascii="宋体" w:hAnsi="宋体"/>
          <w:b/>
          <w:bCs/>
        </w:rPr>
      </w:pPr>
    </w:p>
    <w:p>
      <w:pPr>
        <w:pStyle w:val="2"/>
        <w:ind w:left="420"/>
        <w:jc w:val="center"/>
        <w:rPr>
          <w:rFonts w:hint="eastAsia" w:ascii="宋体" w:hAnsi="宋体"/>
          <w:b/>
          <w:bCs/>
        </w:rPr>
      </w:pPr>
      <w:r>
        <w:rPr>
          <w:rFonts w:hint="eastAsia" w:ascii="宋体" w:hAnsi="宋体"/>
          <w:b/>
          <w:bCs/>
        </w:rPr>
        <w:t xml:space="preserve">   </w:t>
      </w:r>
    </w:p>
    <w:p>
      <w:pPr>
        <w:pStyle w:val="2"/>
        <w:spacing w:before="0" w:beforeAutospacing="0"/>
        <w:ind w:left="420"/>
        <w:jc w:val="center"/>
        <w:rPr>
          <w:rFonts w:hint="eastAsia" w:ascii="楷体_GB2312" w:hAnsi="华文楷体" w:eastAsia="楷体_GB2312"/>
          <w:b/>
          <w:sz w:val="36"/>
          <w:szCs w:val="24"/>
        </w:rPr>
      </w:pPr>
      <w:r>
        <w:rPr>
          <w:rFonts w:hint="eastAsia" w:ascii="楷体_GB2312" w:hAnsi="华文楷体" w:eastAsia="楷体_GB2312"/>
          <w:b/>
          <w:sz w:val="36"/>
          <w:szCs w:val="24"/>
          <w:lang w:val="en-US" w:eastAsia="zh-CN"/>
        </w:rPr>
        <w:t>岳阳市</w:t>
      </w:r>
      <w:r>
        <w:rPr>
          <w:rFonts w:hint="eastAsia" w:ascii="楷体_GB2312" w:hAnsi="华文楷体" w:eastAsia="楷体_GB2312"/>
          <w:b/>
          <w:sz w:val="36"/>
          <w:szCs w:val="24"/>
        </w:rPr>
        <w:t>精神文明建设指导委员会办公室</w:t>
      </w:r>
    </w:p>
    <w:p>
      <w:pPr>
        <w:pStyle w:val="2"/>
        <w:spacing w:before="0" w:beforeAutospacing="0"/>
        <w:ind w:left="420"/>
        <w:jc w:val="center"/>
        <w:rPr>
          <w:rFonts w:ascii="楷体_GB2312" w:eastAsia="楷体_GB2312"/>
          <w:sz w:val="36"/>
          <w:szCs w:val="36"/>
        </w:rPr>
        <w:sectPr>
          <w:footerReference r:id="rId3" w:type="default"/>
          <w:pgSz w:w="16838" w:h="11906" w:orient="landscape"/>
          <w:pgMar w:top="1797" w:right="1440" w:bottom="1797" w:left="1440" w:header="851" w:footer="992" w:gutter="0"/>
          <w:pgNumType w:fmt="numberInDash" w:start="1"/>
          <w:cols w:space="720" w:num="1"/>
          <w:titlePg/>
          <w:docGrid w:type="lines" w:linePitch="312" w:charSpace="0"/>
        </w:sectPr>
      </w:pPr>
      <w:r>
        <w:rPr>
          <w:rFonts w:hint="eastAsia" w:ascii="楷体_GB2312" w:hAnsi="华文楷体" w:eastAsia="楷体_GB2312"/>
          <w:b/>
          <w:sz w:val="36"/>
          <w:szCs w:val="24"/>
        </w:rPr>
        <w:t>2022年</w:t>
      </w:r>
      <w:r>
        <w:rPr>
          <w:rFonts w:hint="eastAsia" w:ascii="楷体_GB2312" w:hAnsi="华文楷体" w:eastAsia="楷体_GB2312"/>
          <w:b/>
          <w:sz w:val="36"/>
          <w:szCs w:val="24"/>
          <w:lang w:val="en-US" w:eastAsia="zh-CN"/>
        </w:rPr>
        <w:t>6</w:t>
      </w:r>
      <w:r>
        <w:rPr>
          <w:rFonts w:hint="eastAsia" w:ascii="楷体_GB2312" w:hAnsi="华文楷体" w:eastAsia="楷体_GB2312"/>
          <w:b/>
          <w:sz w:val="36"/>
          <w:szCs w:val="24"/>
        </w:rPr>
        <w:t>月</w:t>
      </w:r>
      <w:bookmarkStart w:id="0" w:name="_GoBack"/>
      <w:bookmarkEnd w:id="0"/>
    </w:p>
    <w:p>
      <w:pPr>
        <w:pStyle w:val="2"/>
        <w:ind w:left="0" w:leftChars="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 xml:space="preserve">说 </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一、岳阳市文明社区（小区）是指组织管理完善、创建活动扎实、道德风尚良好、生活环境舒适、社会秩序稳定的先进社区（小区）。</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二、岳阳市文明社区（小区）每两年评选一届，依据《岳阳市文明社区（小区）测评细则》经考核从申报社区（小区）中产生。测评细则总分100分，考评总分80分以上为合格。</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三、岳阳市文明社区（小区）每一届有效期为3年，届期内组织复查，依据《岳阳市文明社区（小区）测评细则》综合复查情况确定是否保留荣誉称号。</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岳阳市文明社区（小区）测评细则》分为基本指标和特色指标。基本指标由7项内容23条标准构成。考核时限范围为申报评选年及上一年度数据。数据来源包括市、县（市区）统计年鉴以及上级有关部门文件。特色指标设置2个项目。</w:t>
      </w:r>
    </w:p>
    <w:p>
      <w:pPr>
        <w:ind w:firstLine="640"/>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五、《岳阳市文明社区（小区）测评细则》设置7条《岳阳市文明社区（小区）创建动态管理措施（负面清单）》。发生“负面清单”问题的，严格执行惩戒办法。</w:t>
      </w:r>
    </w:p>
    <w:p>
      <w:pPr>
        <w:pStyle w:val="2"/>
        <w:adjustRightInd w:val="0"/>
        <w:snapToGrid w:val="0"/>
        <w:spacing w:after="0"/>
        <w:ind w:left="0" w:leftChars="0"/>
        <w:jc w:val="center"/>
        <w:rPr>
          <w:rFonts w:hint="eastAsia" w:ascii="汉仪大宋简" w:hAnsi="宋体" w:eastAsia="汉仪大宋简"/>
          <w:bCs/>
          <w:sz w:val="44"/>
        </w:rPr>
      </w:pPr>
      <w:r>
        <w:rPr>
          <w:rFonts w:hint="eastAsia" w:ascii="汉仪大宋简" w:hAnsi="宋体" w:eastAsia="汉仪大宋简"/>
          <w:bCs/>
          <w:sz w:val="44"/>
        </w:rPr>
        <w:t>基 本 指 标</w:t>
      </w:r>
    </w:p>
    <w:tbl>
      <w:tblPr>
        <w:tblStyle w:val="8"/>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1560"/>
        <w:gridCol w:w="98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blHeader/>
          <w:jc w:val="center"/>
        </w:trPr>
        <w:tc>
          <w:tcPr>
            <w:tcW w:w="1320" w:type="dxa"/>
            <w:noWrap w:val="0"/>
            <w:vAlign w:val="center"/>
          </w:tcPr>
          <w:p>
            <w:pPr>
              <w:snapToGrid w:val="0"/>
              <w:jc w:val="center"/>
              <w:rPr>
                <w:rFonts w:hint="eastAsia" w:ascii="宋体" w:hAnsi="宋体" w:eastAsia="宋体"/>
                <w:b/>
                <w:sz w:val="24"/>
                <w:lang w:eastAsia="zh-CN"/>
              </w:rPr>
            </w:pPr>
            <w:r>
              <w:rPr>
                <w:rFonts w:hint="eastAsia" w:ascii="宋体" w:hAnsi="宋体"/>
                <w:b/>
                <w:sz w:val="24"/>
                <w:lang w:val="en-US" w:eastAsia="zh-CN"/>
              </w:rPr>
              <w:t>序号</w:t>
            </w:r>
          </w:p>
        </w:tc>
        <w:tc>
          <w:tcPr>
            <w:tcW w:w="1560" w:type="dxa"/>
            <w:noWrap w:val="0"/>
            <w:vAlign w:val="center"/>
          </w:tcPr>
          <w:p>
            <w:pPr>
              <w:snapToGrid w:val="0"/>
              <w:jc w:val="center"/>
              <w:rPr>
                <w:rFonts w:hint="eastAsia" w:ascii="宋体" w:hAnsi="宋体"/>
                <w:b/>
                <w:sz w:val="24"/>
              </w:rPr>
            </w:pPr>
            <w:r>
              <w:rPr>
                <w:rFonts w:hint="eastAsia" w:ascii="宋体" w:hAnsi="宋体"/>
                <w:b/>
                <w:sz w:val="24"/>
              </w:rPr>
              <w:t>考评内容</w:t>
            </w:r>
          </w:p>
        </w:tc>
        <w:tc>
          <w:tcPr>
            <w:tcW w:w="9885" w:type="dxa"/>
            <w:noWrap w:val="0"/>
            <w:vAlign w:val="center"/>
          </w:tcPr>
          <w:p>
            <w:pPr>
              <w:snapToGrid w:val="0"/>
              <w:jc w:val="center"/>
              <w:rPr>
                <w:rFonts w:hint="eastAsia" w:ascii="宋体" w:hAnsi="宋体"/>
                <w:b/>
                <w:sz w:val="24"/>
              </w:rPr>
            </w:pPr>
            <w:r>
              <w:rPr>
                <w:rFonts w:hint="eastAsia" w:ascii="宋体" w:hAnsi="宋体"/>
                <w:b/>
                <w:sz w:val="24"/>
              </w:rPr>
              <w:t>考评标准</w:t>
            </w:r>
          </w:p>
        </w:tc>
        <w:tc>
          <w:tcPr>
            <w:tcW w:w="1275" w:type="dxa"/>
            <w:noWrap w:val="0"/>
            <w:vAlign w:val="center"/>
          </w:tcPr>
          <w:p>
            <w:pPr>
              <w:snapToGrid w:val="0"/>
              <w:jc w:val="center"/>
              <w:rPr>
                <w:rFonts w:hint="eastAsia" w:ascii="宋体" w:hAnsi="宋体"/>
                <w:b/>
                <w:sz w:val="24"/>
              </w:rPr>
            </w:pPr>
            <w:r>
              <w:rPr>
                <w:rFonts w:hint="eastAsia" w:ascii="宋体" w:hAnsi="宋体"/>
                <w:b/>
                <w:sz w:val="24"/>
              </w:rPr>
              <w:t>考评方法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restart"/>
            <w:noWrap w:val="0"/>
            <w:vAlign w:val="center"/>
          </w:tcPr>
          <w:p>
            <w:pPr>
              <w:widowControl w:val="0"/>
              <w:numPr>
                <w:ilvl w:val="0"/>
                <w:numId w:val="0"/>
              </w:numPr>
              <w:snapToGrid w:val="0"/>
              <w:jc w:val="center"/>
              <w:rPr>
                <w:rFonts w:hint="default" w:ascii="宋体" w:hAnsi="宋体"/>
                <w:sz w:val="24"/>
                <w:lang w:val="en-US" w:eastAsia="zh-CN"/>
              </w:rPr>
            </w:pPr>
            <w:r>
              <w:rPr>
                <w:rFonts w:hint="eastAsia" w:ascii="宋体" w:hAnsi="宋体"/>
                <w:sz w:val="24"/>
                <w:lang w:val="en-US" w:eastAsia="zh-CN"/>
              </w:rPr>
              <w:t>1</w:t>
            </w:r>
          </w:p>
        </w:tc>
        <w:tc>
          <w:tcPr>
            <w:tcW w:w="1560" w:type="dxa"/>
            <w:vMerge w:val="restart"/>
            <w:noWrap w:val="0"/>
            <w:vAlign w:val="center"/>
          </w:tcPr>
          <w:p>
            <w:pPr>
              <w:adjustRightInd w:val="0"/>
              <w:snapToGrid w:val="0"/>
              <w:jc w:val="center"/>
              <w:rPr>
                <w:rFonts w:hint="default" w:ascii="宋体" w:hAnsi="宋体" w:cs="仿宋"/>
                <w:bCs/>
                <w:color w:val="000000" w:themeColor="text1"/>
                <w:sz w:val="24"/>
                <w:szCs w:val="24"/>
                <w:lang w:val="en-US"/>
                <w14:textFill>
                  <w14:solidFill>
                    <w14:schemeClr w14:val="tx1"/>
                  </w14:solidFill>
                </w14:textFill>
              </w:rPr>
            </w:pPr>
            <w:r>
              <w:rPr>
                <w:rFonts w:hint="eastAsia" w:ascii="宋体" w:hAnsi="宋体" w:cs="仿宋"/>
                <w:bCs/>
                <w:color w:val="000000" w:themeColor="text1"/>
                <w:sz w:val="24"/>
                <w:szCs w:val="24"/>
                <w:lang w:val="en-US" w:eastAsia="zh-CN"/>
                <w14:textFill>
                  <w14:solidFill>
                    <w14:schemeClr w14:val="tx1"/>
                  </w14:solidFill>
                </w14:textFill>
              </w:rPr>
              <w:t>思想引领</w:t>
            </w:r>
          </w:p>
          <w:p>
            <w:pPr>
              <w:adjustRightInd w:val="0"/>
              <w:snapToGrid w:val="0"/>
              <w:jc w:val="center"/>
              <w:rPr>
                <w:rFonts w:hint="default" w:ascii="宋体" w:hAnsi="宋体" w:eastAsia="宋体" w:cs="仿宋"/>
                <w:bCs/>
                <w:color w:val="FF0000"/>
                <w:sz w:val="24"/>
                <w:szCs w:val="24"/>
                <w:lang w:val="en-US" w:eastAsia="zh-CN"/>
              </w:rPr>
            </w:pPr>
            <w:r>
              <w:rPr>
                <w:rFonts w:hint="eastAsia" w:ascii="宋体" w:hAnsi="宋体" w:cs="仿宋"/>
                <w:bCs/>
                <w:color w:val="000000" w:themeColor="text1"/>
                <w:sz w:val="24"/>
                <w:szCs w:val="24"/>
                <w:lang w:val="en-US" w:eastAsia="zh-CN"/>
                <w14:textFill>
                  <w14:solidFill>
                    <w14:schemeClr w14:val="tx1"/>
                  </w14:solidFill>
                </w14:textFill>
              </w:rPr>
              <w:t>16分</w:t>
            </w:r>
          </w:p>
        </w:tc>
        <w:tc>
          <w:tcPr>
            <w:tcW w:w="9885" w:type="dxa"/>
            <w:noWrap w:val="0"/>
            <w:vAlign w:val="center"/>
          </w:tcPr>
          <w:p>
            <w:pPr>
              <w:snapToGrid w:val="0"/>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s="仿宋"/>
                <w:color w:val="000000" w:themeColor="text1"/>
                <w:sz w:val="24"/>
                <w:szCs w:val="24"/>
                <w14:textFill>
                  <w14:solidFill>
                    <w14:schemeClr w14:val="tx1"/>
                  </w14:solidFill>
                </w14:textFill>
              </w:rPr>
              <w:t>把深入学习习近平新时代中国特色社会主义思想作为</w:t>
            </w:r>
            <w:r>
              <w:rPr>
                <w:rFonts w:hint="eastAsia" w:ascii="宋体" w:hAnsi="宋体" w:cs="仿宋"/>
                <w:color w:val="000000" w:themeColor="text1"/>
                <w:sz w:val="24"/>
                <w:szCs w:val="24"/>
                <w:lang w:val="en-US" w:eastAsia="zh-CN"/>
                <w14:textFill>
                  <w14:solidFill>
                    <w14:schemeClr w14:val="tx1"/>
                  </w14:solidFill>
                </w14:textFill>
              </w:rPr>
              <w:t>社区党组织</w:t>
            </w:r>
            <w:r>
              <w:rPr>
                <w:rFonts w:hint="eastAsia" w:ascii="宋体" w:hAnsi="宋体" w:cs="仿宋"/>
                <w:color w:val="000000" w:themeColor="text1"/>
                <w:sz w:val="24"/>
                <w:szCs w:val="24"/>
                <w14:textFill>
                  <w14:solidFill>
                    <w14:schemeClr w14:val="tx1"/>
                  </w14:solidFill>
                </w14:textFill>
              </w:rPr>
              <w:t>首要政治任务和理论学习主题主线，抓好《习近平谈治国理政》《习近平新时代中国特色社会主义思想学习纲要》、习近平总书记在重大时间节点发表的重要讲话等的学习，切实用习近平新时代中国特色社会主义思想武装头脑、教育员工、推动工作（2分）；专题学习习近平总书记关于宣传思想工作和精神文明建设的重要思想，用以指导</w:t>
            </w:r>
            <w:r>
              <w:rPr>
                <w:rFonts w:hint="eastAsia" w:ascii="宋体" w:hAnsi="宋体" w:cs="仿宋"/>
                <w:color w:val="000000" w:themeColor="text1"/>
                <w:sz w:val="24"/>
                <w:szCs w:val="24"/>
                <w:lang w:val="en-US" w:eastAsia="zh-CN"/>
                <w14:textFill>
                  <w14:solidFill>
                    <w14:schemeClr w14:val="tx1"/>
                  </w14:solidFill>
                </w14:textFill>
              </w:rPr>
              <w:t>社区</w:t>
            </w:r>
            <w:r>
              <w:rPr>
                <w:rFonts w:hint="eastAsia" w:ascii="宋体" w:hAnsi="宋体" w:cs="仿宋"/>
                <w:color w:val="000000" w:themeColor="text1"/>
                <w:sz w:val="24"/>
                <w:szCs w:val="24"/>
                <w14:textFill>
                  <w14:solidFill>
                    <w14:schemeClr w14:val="tx1"/>
                  </w14:solidFill>
                </w14:textFill>
              </w:rPr>
              <w:t>文明创建，成效显著（2分）；教育引导党员干部自觉增强“四个意识”、坚定“四个自信”、做到“两个维护”、捍卫“两个确立”（2分）。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FF0000"/>
                <w:sz w:val="24"/>
                <w:szCs w:val="24"/>
              </w:rPr>
            </w:pPr>
          </w:p>
        </w:tc>
        <w:tc>
          <w:tcPr>
            <w:tcW w:w="9885" w:type="dxa"/>
            <w:noWrap w:val="0"/>
            <w:vAlign w:val="center"/>
          </w:tcPr>
          <w:p>
            <w:pPr>
              <w:snapToGrid w:val="0"/>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运用</w:t>
            </w:r>
            <w:r>
              <w:rPr>
                <w:rFonts w:hint="eastAsia" w:ascii="宋体" w:hAnsi="宋体"/>
                <w:color w:val="000000" w:themeColor="text1"/>
                <w:sz w:val="24"/>
                <w:lang w:val="en-US" w:eastAsia="zh-CN"/>
                <w14:textFill>
                  <w14:solidFill>
                    <w14:schemeClr w14:val="tx1"/>
                  </w14:solidFill>
                </w14:textFill>
              </w:rPr>
              <w:t>新时代文明实践站、综合文化服务中心</w:t>
            </w:r>
            <w:r>
              <w:rPr>
                <w:rFonts w:hint="eastAsia" w:ascii="宋体" w:hAnsi="宋体"/>
                <w:color w:val="000000" w:themeColor="text1"/>
                <w:sz w:val="24"/>
                <w14:textFill>
                  <w14:solidFill>
                    <w14:schemeClr w14:val="tx1"/>
                  </w14:solidFill>
                </w14:textFill>
              </w:rPr>
              <w:t>等阵地，用浅显易懂的语言和群众喜闻乐见的形式，面向群众开展习近平新时代中国特色社会主义思想宣传教育</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3分</w:t>
            </w:r>
            <w:r>
              <w:rPr>
                <w:rFonts w:hint="eastAsia" w:ascii="宋体" w:hAnsi="宋体"/>
                <w:color w:val="000000" w:themeColor="text1"/>
                <w:sz w:val="24"/>
                <w:lang w:eastAsia="zh-CN"/>
                <w14:textFill>
                  <w14:solidFill>
                    <w14:schemeClr w14:val="tx1"/>
                  </w14:solidFill>
                </w14:textFill>
              </w:rPr>
              <w:t>）。开展迎接学习宣传党的二十大主题活动（</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FF0000"/>
                <w:sz w:val="24"/>
                <w:szCs w:val="24"/>
              </w:rPr>
            </w:pP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3）社区党组织切实负起意识形态工作的政治责任和领导责任，无责任事故；做好扫黄打非工作（4分）。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restart"/>
            <w:noWrap w:val="0"/>
            <w:vAlign w:val="center"/>
          </w:tcPr>
          <w:p>
            <w:pPr>
              <w:widowControl w:val="0"/>
              <w:numPr>
                <w:ilvl w:val="0"/>
                <w:numId w:val="0"/>
              </w:numPr>
              <w:snapToGrid w:val="0"/>
              <w:jc w:val="center"/>
              <w:rPr>
                <w:rFonts w:hint="default" w:ascii="宋体" w:hAnsi="宋体"/>
                <w:sz w:val="24"/>
                <w:lang w:val="en-US" w:eastAsia="zh-CN"/>
              </w:rPr>
            </w:pPr>
            <w:r>
              <w:rPr>
                <w:rFonts w:hint="eastAsia" w:ascii="宋体" w:hAnsi="宋体"/>
                <w:sz w:val="24"/>
                <w:lang w:val="en-US" w:eastAsia="zh-CN"/>
              </w:rPr>
              <w:t>2</w:t>
            </w:r>
          </w:p>
        </w:tc>
        <w:tc>
          <w:tcPr>
            <w:tcW w:w="1560" w:type="dxa"/>
            <w:vMerge w:val="restart"/>
            <w:noWrap w:val="0"/>
            <w:vAlign w:val="center"/>
          </w:tcPr>
          <w:p>
            <w:pPr>
              <w:adjustRightInd w:val="0"/>
              <w:snapToGrid w:val="0"/>
              <w:jc w:val="center"/>
              <w:rPr>
                <w:rFonts w:hint="eastAsia" w:ascii="宋体" w:hAnsi="宋体" w:cs="仿宋"/>
                <w:bCs/>
                <w:sz w:val="24"/>
                <w:szCs w:val="24"/>
                <w:lang w:val="en-US" w:eastAsia="zh-CN"/>
              </w:rPr>
            </w:pPr>
            <w:r>
              <w:rPr>
                <w:rFonts w:hint="eastAsia" w:ascii="宋体" w:hAnsi="宋体" w:cs="仿宋"/>
                <w:bCs/>
                <w:sz w:val="24"/>
                <w:szCs w:val="24"/>
                <w:lang w:val="en-US" w:eastAsia="zh-CN"/>
              </w:rPr>
              <w:t>机制健全</w:t>
            </w:r>
          </w:p>
          <w:p>
            <w:pPr>
              <w:adjustRightInd w:val="0"/>
              <w:snapToGrid w:val="0"/>
              <w:jc w:val="center"/>
              <w:rPr>
                <w:rFonts w:hint="default" w:ascii="宋体" w:hAnsi="宋体" w:cs="仿宋"/>
                <w:bCs/>
                <w:sz w:val="24"/>
                <w:szCs w:val="24"/>
                <w:lang w:val="en-US" w:eastAsia="zh-CN"/>
              </w:rPr>
            </w:pPr>
            <w:r>
              <w:rPr>
                <w:rFonts w:hint="eastAsia" w:ascii="宋体" w:hAnsi="宋体" w:cs="仿宋"/>
                <w:bCs/>
                <w:sz w:val="24"/>
                <w:szCs w:val="24"/>
                <w:lang w:val="en-US" w:eastAsia="zh-CN"/>
              </w:rPr>
              <w:t>13分</w:t>
            </w:r>
          </w:p>
        </w:tc>
        <w:tc>
          <w:tcPr>
            <w:tcW w:w="9885" w:type="dxa"/>
            <w:noWrap w:val="0"/>
            <w:vAlign w:val="center"/>
          </w:tcPr>
          <w:p>
            <w:pPr>
              <w:snapToGrid w:val="0"/>
              <w:ind w:firstLine="480" w:firstLineChars="200"/>
              <w:rPr>
                <w:rFonts w:hint="eastAsia" w:ascii="宋体" w:hAnsi="宋体"/>
                <w:sz w:val="24"/>
                <w:lang w:val="en-US" w:eastAsia="zh-CN"/>
              </w:rPr>
            </w:pPr>
            <w:r>
              <w:rPr>
                <w:rFonts w:hint="eastAsia" w:ascii="宋体" w:hAnsi="宋体"/>
                <w:sz w:val="24"/>
                <w:lang w:val="en-US" w:eastAsia="zh-CN"/>
              </w:rPr>
              <w:t>4）建立完善的工作制度，对社区事务实行民主管理、民主决策，居民对社区重大事务具有高度的决策决定权（3分）。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sz w:val="24"/>
                <w:szCs w:val="24"/>
                <w:lang w:val="en-US" w:eastAsia="zh-CN"/>
              </w:rPr>
            </w:pPr>
          </w:p>
        </w:tc>
        <w:tc>
          <w:tcPr>
            <w:tcW w:w="9885" w:type="dxa"/>
            <w:noWrap w:val="0"/>
            <w:vAlign w:val="center"/>
          </w:tcPr>
          <w:p>
            <w:pPr>
              <w:snapToGrid w:val="0"/>
              <w:ind w:firstLine="480" w:firstLineChars="200"/>
              <w:rPr>
                <w:rFonts w:hint="default" w:ascii="宋体" w:hAnsi="宋体"/>
                <w:sz w:val="24"/>
                <w:lang w:val="en-US" w:eastAsia="zh-CN"/>
              </w:rPr>
            </w:pPr>
            <w:r>
              <w:rPr>
                <w:rFonts w:hint="eastAsia" w:ascii="宋体" w:hAnsi="宋体"/>
                <w:sz w:val="24"/>
                <w:lang w:val="en-US" w:eastAsia="zh-CN"/>
              </w:rPr>
              <w:t>5）社区党的组织健全，经常性地开展形式多样的党建活动，党员在社区事务中能够充分发挥先锋模范作用（3分）。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sz w:val="24"/>
                <w:szCs w:val="24"/>
                <w:lang w:val="en-US" w:eastAsia="zh-CN"/>
              </w:rPr>
            </w:pPr>
          </w:p>
        </w:tc>
        <w:tc>
          <w:tcPr>
            <w:tcW w:w="9885" w:type="dxa"/>
            <w:noWrap w:val="0"/>
            <w:vAlign w:val="center"/>
          </w:tcPr>
          <w:p>
            <w:pPr>
              <w:snapToGrid w:val="0"/>
              <w:ind w:firstLine="480" w:firstLineChars="200"/>
              <w:rPr>
                <w:rFonts w:hint="default" w:ascii="宋体" w:hAnsi="宋体"/>
                <w:sz w:val="24"/>
                <w:lang w:val="en-US" w:eastAsia="zh-CN"/>
              </w:rPr>
            </w:pPr>
            <w:r>
              <w:rPr>
                <w:rFonts w:hint="eastAsia" w:ascii="宋体" w:hAnsi="宋体"/>
                <w:sz w:val="24"/>
                <w:lang w:val="en-US" w:eastAsia="zh-CN"/>
              </w:rPr>
              <w:t>6）建立和完善以街道党（工）委、办事处和社区居委会为主导，驻区单位和居民群众广泛参与，有关方面齐抓共管的共建机制，常年开展“</w:t>
            </w:r>
            <w:r>
              <w:rPr>
                <w:rFonts w:hint="eastAsia" w:ascii="宋体" w:hAnsi="宋体"/>
                <w:color w:val="000000" w:themeColor="text1"/>
                <w:sz w:val="24"/>
                <w:lang w:val="en-US" w:eastAsia="zh-CN"/>
                <w14:textFill>
                  <w14:solidFill>
                    <w14:schemeClr w14:val="tx1"/>
                  </w14:solidFill>
                </w14:textFill>
              </w:rPr>
              <w:t>文明小区、文明楼栋、文明家庭</w:t>
            </w:r>
            <w:r>
              <w:rPr>
                <w:rFonts w:hint="eastAsia" w:ascii="宋体" w:hAnsi="宋体"/>
                <w:sz w:val="24"/>
                <w:lang w:val="en-US" w:eastAsia="zh-CN"/>
              </w:rPr>
              <w:t>”等创建活动（4分）。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sz w:val="24"/>
                <w:szCs w:val="24"/>
                <w:lang w:val="en-US" w:eastAsia="zh-CN"/>
              </w:rPr>
            </w:pPr>
          </w:p>
        </w:tc>
        <w:tc>
          <w:tcPr>
            <w:tcW w:w="9885" w:type="dxa"/>
            <w:noWrap w:val="0"/>
            <w:vAlign w:val="center"/>
          </w:tcPr>
          <w:p>
            <w:pPr>
              <w:snapToGrid w:val="0"/>
              <w:ind w:firstLine="480" w:firstLineChars="200"/>
              <w:rPr>
                <w:rFonts w:hint="eastAsia" w:ascii="宋体" w:hAnsi="宋体"/>
                <w:sz w:val="24"/>
                <w:lang w:val="en-US" w:eastAsia="zh-CN"/>
              </w:rPr>
            </w:pPr>
            <w:r>
              <w:rPr>
                <w:rFonts w:hint="eastAsia" w:ascii="宋体" w:hAnsi="宋体"/>
                <w:sz w:val="24"/>
                <w:lang w:val="en-US" w:eastAsia="zh-CN"/>
              </w:rPr>
              <w:t>7）社区居委会的组织健全，各项工作有专人负责，有一支素质较高、工作得力的社区干部队伍（3分）。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restart"/>
            <w:noWrap w:val="0"/>
            <w:vAlign w:val="center"/>
          </w:tcPr>
          <w:p>
            <w:pPr>
              <w:widowControl w:val="0"/>
              <w:numPr>
                <w:ilvl w:val="0"/>
                <w:numId w:val="0"/>
              </w:numPr>
              <w:snapToGrid w:val="0"/>
              <w:jc w:val="center"/>
              <w:rPr>
                <w:rFonts w:hint="default" w:ascii="宋体" w:hAnsi="宋体"/>
                <w:sz w:val="24"/>
                <w:lang w:val="en-US" w:eastAsia="zh-CN"/>
              </w:rPr>
            </w:pPr>
            <w:r>
              <w:rPr>
                <w:rFonts w:hint="eastAsia" w:ascii="宋体" w:hAnsi="宋体"/>
                <w:sz w:val="24"/>
                <w:lang w:val="en-US" w:eastAsia="zh-CN"/>
              </w:rPr>
              <w:t>3</w:t>
            </w:r>
          </w:p>
        </w:tc>
        <w:tc>
          <w:tcPr>
            <w:tcW w:w="1560" w:type="dxa"/>
            <w:vMerge w:val="restart"/>
            <w:noWrap w:val="0"/>
            <w:vAlign w:val="center"/>
          </w:tcPr>
          <w:p>
            <w:pPr>
              <w:adjustRightInd w:val="0"/>
              <w:snapToGrid w:val="0"/>
              <w:jc w:val="center"/>
              <w:rPr>
                <w:rFonts w:hint="eastAsia" w:ascii="宋体" w:hAnsi="宋体" w:cs="仿宋"/>
                <w:bCs/>
                <w:sz w:val="24"/>
                <w:szCs w:val="24"/>
                <w:lang w:val="en-US" w:eastAsia="zh-CN"/>
              </w:rPr>
            </w:pPr>
            <w:r>
              <w:rPr>
                <w:rFonts w:hint="eastAsia" w:ascii="宋体" w:hAnsi="宋体" w:cs="仿宋"/>
                <w:bCs/>
                <w:sz w:val="24"/>
                <w:szCs w:val="24"/>
                <w:lang w:val="en-US" w:eastAsia="zh-CN"/>
              </w:rPr>
              <w:t>环境优美</w:t>
            </w:r>
          </w:p>
          <w:p>
            <w:pPr>
              <w:adjustRightInd w:val="0"/>
              <w:snapToGrid w:val="0"/>
              <w:jc w:val="center"/>
              <w:rPr>
                <w:rFonts w:hint="default" w:ascii="宋体" w:hAnsi="宋体" w:cs="仿宋"/>
                <w:bCs/>
                <w:sz w:val="24"/>
                <w:szCs w:val="24"/>
                <w:lang w:val="en-US" w:eastAsia="zh-CN"/>
              </w:rPr>
            </w:pPr>
            <w:r>
              <w:rPr>
                <w:rFonts w:hint="eastAsia" w:ascii="宋体" w:hAnsi="宋体" w:cs="仿宋"/>
                <w:bCs/>
                <w:sz w:val="24"/>
                <w:szCs w:val="24"/>
                <w:lang w:val="en-US" w:eastAsia="zh-CN"/>
              </w:rPr>
              <w:t>14分</w:t>
            </w: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认真落实</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文明岳阳</w:t>
            </w:r>
            <w:r>
              <w:rPr>
                <w:rFonts w:hint="eastAsia" w:ascii="汉仪大黑简" w:hAnsi="汉仪大黑简" w:eastAsia="汉仪大黑简" w:cs="汉仪大黑简"/>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爱卫同行</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三年行动计划</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确保环境整洁优美，无积存垃圾、纸屑、烟蒂、污物现象（2分）；无乱张贴乱涂写乱刻画、乱搭乱建、乱堆乱放物料现象（2分）；建筑物外立面整体干净、无大面积破损污损（2分）；各种空中缆线整齐规范、无乱拉乱设、飞线充电现象（2分）。</w:t>
            </w:r>
          </w:p>
        </w:tc>
        <w:tc>
          <w:tcPr>
            <w:tcW w:w="1275" w:type="dxa"/>
            <w:vMerge w:val="restart"/>
            <w:noWrap w:val="0"/>
            <w:vAlign w:val="center"/>
          </w:tcPr>
          <w:p>
            <w:pPr>
              <w:snapToGrid w:val="0"/>
              <w:jc w:val="center"/>
              <w:rPr>
                <w:rFonts w:hint="eastAsia" w:ascii="宋体" w:hAnsi="宋体"/>
                <w:sz w:val="24"/>
              </w:rPr>
            </w:pP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sz w:val="24"/>
                <w:szCs w:val="24"/>
                <w:lang w:val="en-US" w:eastAsia="zh-CN"/>
              </w:rPr>
            </w:pP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9）加强环境治理，路面硬化平整，排水设施完善、无明显坑洼积水（2分）；停车规范有序，无乱停乱放、堵塞小区道路和楼道现象（2分）；生活垃圾定点投放、分类投放，有分类垃圾箱（桶）或垃圾分类投放点，垃圾房、箱（桶）完好、整洁，广泛普及垃圾分类知识（2分）。</w:t>
            </w:r>
          </w:p>
        </w:tc>
        <w:tc>
          <w:tcPr>
            <w:tcW w:w="1275" w:type="dxa"/>
            <w:vMerge w:val="continue"/>
            <w:noWrap w:val="0"/>
            <w:vAlign w:val="center"/>
          </w:tcPr>
          <w:p>
            <w:pPr>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restart"/>
            <w:noWrap w:val="0"/>
            <w:vAlign w:val="center"/>
          </w:tcPr>
          <w:p>
            <w:pPr>
              <w:widowControl w:val="0"/>
              <w:numPr>
                <w:ilvl w:val="0"/>
                <w:numId w:val="0"/>
              </w:numPr>
              <w:snapToGrid w:val="0"/>
              <w:jc w:val="center"/>
              <w:rPr>
                <w:rFonts w:hint="default" w:ascii="宋体" w:hAnsi="宋体"/>
                <w:sz w:val="24"/>
                <w:lang w:val="en-US" w:eastAsia="zh-CN"/>
              </w:rPr>
            </w:pPr>
            <w:r>
              <w:rPr>
                <w:rFonts w:hint="eastAsia" w:ascii="宋体" w:hAnsi="宋体"/>
                <w:sz w:val="24"/>
                <w:lang w:val="en-US" w:eastAsia="zh-CN"/>
              </w:rPr>
              <w:t>4</w:t>
            </w:r>
          </w:p>
        </w:tc>
        <w:tc>
          <w:tcPr>
            <w:tcW w:w="1560" w:type="dxa"/>
            <w:vMerge w:val="restart"/>
            <w:noWrap w:val="0"/>
            <w:vAlign w:val="center"/>
          </w:tcPr>
          <w:p>
            <w:pPr>
              <w:adjustRightInd w:val="0"/>
              <w:snapToGrid w:val="0"/>
              <w:jc w:val="center"/>
              <w:rPr>
                <w:rFonts w:hint="eastAsia" w:ascii="宋体" w:hAnsi="宋体" w:cs="仿宋"/>
                <w:bCs/>
                <w:sz w:val="24"/>
                <w:szCs w:val="24"/>
                <w:lang w:val="en-US" w:eastAsia="zh-CN"/>
              </w:rPr>
            </w:pPr>
            <w:r>
              <w:rPr>
                <w:rFonts w:hint="eastAsia" w:ascii="宋体" w:hAnsi="宋体" w:cs="仿宋"/>
                <w:bCs/>
                <w:sz w:val="24"/>
                <w:szCs w:val="24"/>
                <w:lang w:val="en-US" w:eastAsia="zh-CN"/>
              </w:rPr>
              <w:t>风尚良好</w:t>
            </w:r>
          </w:p>
          <w:p>
            <w:pPr>
              <w:adjustRightInd w:val="0"/>
              <w:snapToGrid w:val="0"/>
              <w:jc w:val="center"/>
              <w:rPr>
                <w:rFonts w:hint="default" w:ascii="宋体" w:hAnsi="宋体" w:cs="仿宋"/>
                <w:bCs/>
                <w:sz w:val="24"/>
                <w:szCs w:val="24"/>
                <w:lang w:val="en-US" w:eastAsia="zh-CN"/>
              </w:rPr>
            </w:pPr>
            <w:r>
              <w:rPr>
                <w:rFonts w:hint="eastAsia" w:ascii="宋体" w:hAnsi="宋体" w:cs="仿宋"/>
                <w:bCs/>
                <w:sz w:val="24"/>
                <w:szCs w:val="24"/>
                <w:lang w:val="en-US" w:eastAsia="zh-CN"/>
              </w:rPr>
              <w:t>16分</w:t>
            </w: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10）结合实际贯彻落实《新时代公民道德建设实施纲要》《新时代爱国主义教育实施纲要》《岳阳市文明行为促进条例》，在社区办公楼和户外广泛设置与周围环境协调融合的社会主义核心价值观、《岳阳市民文明公约》以及“讲文明 树新风”“文明健康</w:t>
            </w:r>
            <w:r>
              <w:rPr>
                <w:rFonts w:hint="eastAsia" w:ascii="汉仪大黑简" w:hAnsi="汉仪大黑简" w:eastAsia="汉仪大黑简" w:cs="汉仪大黑简"/>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有你有我”等主题公益广告（6分）。</w:t>
            </w:r>
          </w:p>
        </w:tc>
        <w:tc>
          <w:tcPr>
            <w:tcW w:w="1275" w:type="dxa"/>
            <w:noWrap w:val="0"/>
            <w:vAlign w:val="center"/>
          </w:tcPr>
          <w:p>
            <w:pPr>
              <w:snapToGrid w:val="0"/>
              <w:jc w:val="center"/>
              <w:rPr>
                <w:rFonts w:hint="default" w:ascii="宋体" w:hAnsi="宋体" w:eastAsia="宋体"/>
                <w:sz w:val="24"/>
                <w:lang w:val="en-US" w:eastAsia="zh-CN"/>
              </w:rPr>
            </w:pPr>
            <w:r>
              <w:rPr>
                <w:rFonts w:hint="eastAsia" w:ascii="宋体" w:hAnsi="宋体"/>
                <w:sz w:val="24"/>
              </w:rPr>
              <w:t>材料审核</w:t>
            </w: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sz w:val="24"/>
                <w:szCs w:val="24"/>
                <w:lang w:val="en-US" w:eastAsia="zh-CN"/>
              </w:rPr>
            </w:pPr>
          </w:p>
        </w:tc>
        <w:tc>
          <w:tcPr>
            <w:tcW w:w="9885" w:type="dxa"/>
            <w:noWrap w:val="0"/>
            <w:vAlign w:val="center"/>
          </w:tcPr>
          <w:p>
            <w:pPr>
              <w:snapToGrid w:val="0"/>
              <w:ind w:firstLine="480" w:firstLineChars="200"/>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11）开展</w:t>
            </w:r>
            <w:r>
              <w:rPr>
                <w:rFonts w:hint="eastAsia" w:ascii="宋体" w:hAnsi="宋体"/>
                <w:color w:val="000000" w:themeColor="text1"/>
                <w:sz w:val="24"/>
                <w14:textFill>
                  <w14:solidFill>
                    <w14:schemeClr w14:val="tx1"/>
                  </w14:solidFill>
                </w14:textFill>
              </w:rPr>
              <w:t>道德模范、时代楷模、身边好人、最美人物等选树宣传，关爱帮扶先进典型，营造崇德向善、见贤思齐的浓厚氛围，树立德者受尊、好人好报的鲜明导向</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2分</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。发动</w:t>
            </w:r>
            <w:r>
              <w:rPr>
                <w:rFonts w:hint="eastAsia" w:ascii="宋体" w:hAnsi="宋体"/>
                <w:color w:val="000000" w:themeColor="text1"/>
                <w:sz w:val="24"/>
                <w:lang w:eastAsia="zh-CN"/>
                <w14:textFill>
                  <w14:solidFill>
                    <w14:schemeClr w14:val="tx1"/>
                  </w14:solidFill>
                </w14:textFill>
              </w:rPr>
              <w:t>社区</w:t>
            </w:r>
            <w:r>
              <w:rPr>
                <w:rFonts w:hint="eastAsia" w:ascii="宋体" w:hAnsi="宋体"/>
                <w:color w:val="000000" w:themeColor="text1"/>
                <w:sz w:val="24"/>
                <w14:textFill>
                  <w14:solidFill>
                    <w14:schemeClr w14:val="tx1"/>
                  </w14:solidFill>
                </w14:textFill>
              </w:rPr>
              <w:t>干部</w:t>
            </w:r>
            <w:r>
              <w:rPr>
                <w:rFonts w:hint="eastAsia" w:ascii="宋体" w:hAnsi="宋体"/>
                <w:color w:val="000000" w:themeColor="text1"/>
                <w:sz w:val="24"/>
                <w:lang w:eastAsia="zh-CN"/>
                <w14:textFill>
                  <w14:solidFill>
                    <w14:schemeClr w14:val="tx1"/>
                  </w14:solidFill>
                </w14:textFill>
              </w:rPr>
              <w:t>、居民</w:t>
            </w:r>
            <w:r>
              <w:rPr>
                <w:rFonts w:hint="eastAsia" w:ascii="宋体" w:hAnsi="宋体"/>
                <w:color w:val="000000" w:themeColor="text1"/>
                <w:sz w:val="24"/>
                <w14:textFill>
                  <w14:solidFill>
                    <w14:schemeClr w14:val="tx1"/>
                  </w14:solidFill>
                </w14:textFill>
              </w:rPr>
              <w:t>群众做好“身边好人”的投票工作</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2分</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tc>
        <w:tc>
          <w:tcPr>
            <w:tcW w:w="1275" w:type="dxa"/>
            <w:noWrap w:val="0"/>
            <w:vAlign w:val="center"/>
          </w:tcPr>
          <w:p>
            <w:pPr>
              <w:snapToGrid w:val="0"/>
              <w:jc w:val="center"/>
              <w:rPr>
                <w:rFonts w:hint="eastAsia" w:ascii="宋体" w:hAnsi="宋体" w:cs="仿宋"/>
                <w:sz w:val="24"/>
                <w:szCs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sz w:val="24"/>
                <w:szCs w:val="24"/>
                <w:lang w:val="en-US" w:eastAsia="zh-CN"/>
              </w:rPr>
            </w:pP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12）组织开展文明交通、文明旅游、文明餐桌、文明上网等文明风尚行动（2分）。</w:t>
            </w:r>
            <w:r>
              <w:rPr>
                <w:rFonts w:hint="eastAsia" w:ascii="宋体" w:hAnsi="宋体" w:cs="仿宋"/>
                <w:color w:val="000000" w:themeColor="text1"/>
                <w:sz w:val="24"/>
                <w:szCs w:val="24"/>
                <w:lang w:eastAsia="zh-CN"/>
                <w14:textFill>
                  <w14:solidFill>
                    <w14:schemeClr w14:val="tx1"/>
                  </w14:solidFill>
                </w14:textFill>
              </w:rPr>
              <w:t>以春节、元宵节、清明节、端午节、七夕节、中秋节、重阳节为重点，开展“我们的节日”主题活动</w:t>
            </w:r>
            <w:r>
              <w:rPr>
                <w:rFonts w:hint="eastAsia" w:ascii="宋体" w:hAnsi="宋体"/>
                <w:color w:val="000000" w:themeColor="text1"/>
                <w:sz w:val="24"/>
                <w:lang w:val="en-US" w:eastAsia="zh-CN"/>
                <w14:textFill>
                  <w14:solidFill>
                    <w14:schemeClr w14:val="tx1"/>
                  </w14:solidFill>
                </w14:textFill>
              </w:rPr>
              <w:t>（2分）。</w:t>
            </w:r>
          </w:p>
        </w:tc>
        <w:tc>
          <w:tcPr>
            <w:tcW w:w="1275" w:type="dxa"/>
            <w:noWrap w:val="0"/>
            <w:vAlign w:val="center"/>
          </w:tcPr>
          <w:p>
            <w:pPr>
              <w:snapToGrid w:val="0"/>
              <w:jc w:val="center"/>
              <w:rPr>
                <w:rFonts w:hint="eastAsia" w:ascii="宋体" w:hAnsi="宋体" w:cs="仿宋"/>
                <w:sz w:val="24"/>
                <w:szCs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sz w:val="24"/>
                <w:szCs w:val="24"/>
                <w:lang w:val="en-US" w:eastAsia="zh-CN"/>
              </w:rPr>
            </w:pP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13）制订完善《居民公约》，发挥居民议事会、道德评议会、红白理事会、禁毒禁赌协会等群众组织的作用，深化文明节俭操办婚丧喜庆事宜工作，持续深入推进移风易俗，大操大办、厚葬薄养、聚众赌博等不良风气得到有效遏制（2分）。</w:t>
            </w:r>
          </w:p>
        </w:tc>
        <w:tc>
          <w:tcPr>
            <w:tcW w:w="1275" w:type="dxa"/>
            <w:noWrap w:val="0"/>
            <w:vAlign w:val="center"/>
          </w:tcPr>
          <w:p>
            <w:pPr>
              <w:snapToGrid w:val="0"/>
              <w:jc w:val="center"/>
              <w:rPr>
                <w:rFonts w:hint="default" w:ascii="宋体" w:hAnsi="宋体" w:eastAsia="宋体" w:cs="仿宋"/>
                <w:sz w:val="24"/>
                <w:szCs w:val="24"/>
                <w:lang w:val="en-US" w:eastAsia="zh-CN"/>
              </w:rPr>
            </w:pPr>
            <w:r>
              <w:rPr>
                <w:rFonts w:hint="eastAsia" w:ascii="宋体" w:hAnsi="宋体" w:cs="仿宋"/>
                <w:sz w:val="24"/>
                <w:szCs w:val="24"/>
                <w:lang w:val="en-US" w:eastAsia="zh-CN"/>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restart"/>
            <w:noWrap w:val="0"/>
            <w:vAlign w:val="center"/>
          </w:tcPr>
          <w:p>
            <w:pPr>
              <w:widowControl w:val="0"/>
              <w:numPr>
                <w:ilvl w:val="0"/>
                <w:numId w:val="0"/>
              </w:numPr>
              <w:snapToGrid w:val="0"/>
              <w:jc w:val="center"/>
              <w:rPr>
                <w:rFonts w:hint="default" w:ascii="宋体" w:hAnsi="宋体"/>
                <w:color w:val="auto"/>
                <w:sz w:val="24"/>
                <w:lang w:val="en-US" w:eastAsia="zh-CN"/>
              </w:rPr>
            </w:pPr>
            <w:r>
              <w:rPr>
                <w:rFonts w:hint="eastAsia" w:ascii="宋体" w:hAnsi="宋体"/>
                <w:color w:val="auto"/>
                <w:sz w:val="24"/>
                <w:lang w:val="en-US" w:eastAsia="zh-CN"/>
              </w:rPr>
              <w:t>5</w:t>
            </w:r>
          </w:p>
        </w:tc>
        <w:tc>
          <w:tcPr>
            <w:tcW w:w="1560" w:type="dxa"/>
            <w:vMerge w:val="restart"/>
            <w:noWrap w:val="0"/>
            <w:vAlign w:val="center"/>
          </w:tcPr>
          <w:p>
            <w:pPr>
              <w:adjustRightInd w:val="0"/>
              <w:snapToGrid w:val="0"/>
              <w:jc w:val="center"/>
              <w:rPr>
                <w:rFonts w:hint="eastAsia" w:ascii="宋体" w:hAnsi="宋体" w:cs="仿宋"/>
                <w:bCs/>
                <w:color w:val="auto"/>
                <w:sz w:val="24"/>
                <w:szCs w:val="24"/>
                <w:lang w:val="en-US" w:eastAsia="zh-CN"/>
              </w:rPr>
            </w:pPr>
            <w:r>
              <w:rPr>
                <w:rFonts w:hint="eastAsia" w:ascii="宋体" w:hAnsi="宋体" w:cs="仿宋"/>
                <w:bCs/>
                <w:color w:val="auto"/>
                <w:sz w:val="24"/>
                <w:szCs w:val="24"/>
                <w:lang w:val="en-US" w:eastAsia="zh-CN"/>
              </w:rPr>
              <w:t>秩序优良</w:t>
            </w:r>
          </w:p>
          <w:p>
            <w:pPr>
              <w:adjustRightInd w:val="0"/>
              <w:snapToGrid w:val="0"/>
              <w:jc w:val="center"/>
              <w:rPr>
                <w:rFonts w:hint="default" w:ascii="宋体" w:hAnsi="宋体" w:cs="仿宋"/>
                <w:bCs/>
                <w:color w:val="auto"/>
                <w:sz w:val="24"/>
                <w:szCs w:val="24"/>
                <w:lang w:val="en-US" w:eastAsia="zh-CN"/>
              </w:rPr>
            </w:pPr>
            <w:r>
              <w:rPr>
                <w:rFonts w:hint="eastAsia" w:ascii="宋体" w:hAnsi="宋体" w:cs="仿宋"/>
                <w:bCs/>
                <w:color w:val="auto"/>
                <w:sz w:val="24"/>
                <w:szCs w:val="24"/>
                <w:lang w:val="en-US" w:eastAsia="zh-CN"/>
              </w:rPr>
              <w:t>12分</w:t>
            </w:r>
          </w:p>
        </w:tc>
        <w:tc>
          <w:tcPr>
            <w:tcW w:w="9885" w:type="dxa"/>
            <w:noWrap w:val="0"/>
            <w:vAlign w:val="center"/>
          </w:tcPr>
          <w:p>
            <w:pPr>
              <w:snapToGrid w:val="0"/>
              <w:ind w:firstLine="480" w:firstLineChars="200"/>
              <w:rPr>
                <w:rFonts w:hint="default" w:ascii="宋体" w:hAnsi="宋体"/>
                <w:color w:val="auto"/>
                <w:sz w:val="24"/>
                <w:lang w:val="en-US" w:eastAsia="zh-CN"/>
              </w:rPr>
            </w:pPr>
            <w:r>
              <w:rPr>
                <w:rFonts w:hint="eastAsia" w:ascii="宋体" w:hAnsi="宋体"/>
                <w:color w:val="auto"/>
                <w:sz w:val="24"/>
                <w:lang w:val="en-US" w:eastAsia="zh-CN"/>
              </w:rPr>
              <w:t>14）治安秩序：群防群治体系完善，群众对居住的社区安全感达90%以上。封闭式居住小区有门卫值班，有安全制度，有值班记录；开放式居住小区有安全巡逻记录；居住小区消防、防盗设施按要求设置（4分）。</w:t>
            </w:r>
          </w:p>
        </w:tc>
        <w:tc>
          <w:tcPr>
            <w:tcW w:w="1275" w:type="dxa"/>
            <w:noWrap w:val="0"/>
            <w:vAlign w:val="center"/>
          </w:tcPr>
          <w:p>
            <w:pPr>
              <w:snapToGrid w:val="0"/>
              <w:jc w:val="center"/>
              <w:rPr>
                <w:rFonts w:hint="eastAsia" w:ascii="宋体" w:hAnsi="宋体" w:cs="仿宋"/>
                <w:sz w:val="24"/>
                <w:szCs w:val="24"/>
              </w:rPr>
            </w:pPr>
            <w:r>
              <w:rPr>
                <w:rFonts w:hint="eastAsia" w:ascii="宋体" w:hAnsi="宋体"/>
                <w:sz w:val="24"/>
              </w:rPr>
              <w:t>材料审核</w:t>
            </w:r>
            <w:r>
              <w:rPr>
                <w:rFonts w:hint="eastAsia" w:ascii="宋体" w:hAnsi="宋体" w:cs="仿宋"/>
                <w:sz w:val="24"/>
                <w:szCs w:val="24"/>
              </w:rPr>
              <w:t>实地考察</w:t>
            </w:r>
          </w:p>
          <w:p>
            <w:pPr>
              <w:snapToGrid w:val="0"/>
              <w:jc w:val="center"/>
              <w:rPr>
                <w:rFonts w:hint="eastAsia" w:ascii="宋体" w:hAnsi="宋体" w:cs="仿宋"/>
                <w:sz w:val="24"/>
                <w:szCs w:val="24"/>
                <w:lang w:val="en-US" w:eastAsia="zh-CN"/>
              </w:rPr>
            </w:pPr>
            <w:r>
              <w:rPr>
                <w:rFonts w:hint="eastAsia" w:ascii="宋体" w:hAnsi="宋体" w:cs="仿宋"/>
                <w:sz w:val="24"/>
                <w:szCs w:val="24"/>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color w:val="auto"/>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auto"/>
                <w:sz w:val="24"/>
                <w:szCs w:val="24"/>
                <w:lang w:val="en-US" w:eastAsia="zh-CN"/>
              </w:rPr>
            </w:pPr>
          </w:p>
        </w:tc>
        <w:tc>
          <w:tcPr>
            <w:tcW w:w="9885" w:type="dxa"/>
            <w:noWrap w:val="0"/>
            <w:vAlign w:val="center"/>
          </w:tcPr>
          <w:p>
            <w:pPr>
              <w:snapToGrid w:val="0"/>
              <w:ind w:firstLine="480" w:firstLineChars="200"/>
              <w:rPr>
                <w:rFonts w:hint="default" w:ascii="宋体" w:hAnsi="宋体"/>
                <w:color w:val="auto"/>
                <w:sz w:val="24"/>
                <w:lang w:val="en-US" w:eastAsia="zh-CN"/>
              </w:rPr>
            </w:pPr>
            <w:r>
              <w:rPr>
                <w:rFonts w:hint="eastAsia" w:ascii="宋体" w:hAnsi="宋体"/>
                <w:color w:val="auto"/>
                <w:sz w:val="24"/>
                <w:lang w:val="en-US" w:eastAsia="zh-CN"/>
              </w:rPr>
              <w:t>15）网吧秩序：</w:t>
            </w:r>
            <w:r>
              <w:rPr>
                <w:rFonts w:hint="eastAsia" w:ascii="宋体" w:hAnsi="宋体"/>
                <w:color w:val="000000" w:themeColor="text1"/>
                <w:sz w:val="24"/>
                <w:lang w:val="en-US" w:eastAsia="zh-CN"/>
                <w14:textFill>
                  <w14:solidFill>
                    <w14:schemeClr w14:val="tx1"/>
                  </w14:solidFill>
                </w14:textFill>
              </w:rPr>
              <w:t>无未成年人上网现象</w:t>
            </w:r>
            <w:r>
              <w:rPr>
                <w:rFonts w:hint="eastAsia" w:ascii="宋体" w:hAnsi="宋体"/>
                <w:color w:val="auto"/>
                <w:sz w:val="24"/>
                <w:lang w:val="en-US" w:eastAsia="zh-CN"/>
              </w:rPr>
              <w:t>；证照齐全（网络文化经营许可证、安全合格证、工商营业执照），在服务台等显著位置亮证经营；落实身份证实名登记制度（3分）。</w:t>
            </w:r>
          </w:p>
        </w:tc>
        <w:tc>
          <w:tcPr>
            <w:tcW w:w="1275" w:type="dxa"/>
            <w:noWrap w:val="0"/>
            <w:vAlign w:val="center"/>
          </w:tcPr>
          <w:p>
            <w:pPr>
              <w:snapToGrid w:val="0"/>
              <w:jc w:val="center"/>
              <w:rPr>
                <w:rFonts w:hint="eastAsia" w:ascii="宋体" w:hAnsi="宋体" w:cs="仿宋"/>
                <w:color w:val="auto"/>
                <w:sz w:val="24"/>
                <w:szCs w:val="24"/>
                <w:lang w:val="en-US" w:eastAsia="zh-CN"/>
              </w:rPr>
            </w:pP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color w:val="auto"/>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auto"/>
                <w:sz w:val="24"/>
                <w:szCs w:val="24"/>
                <w:lang w:val="en-US" w:eastAsia="zh-CN"/>
              </w:rPr>
            </w:pPr>
          </w:p>
        </w:tc>
        <w:tc>
          <w:tcPr>
            <w:tcW w:w="9885" w:type="dxa"/>
            <w:noWrap w:val="0"/>
            <w:vAlign w:val="center"/>
          </w:tcPr>
          <w:p>
            <w:pPr>
              <w:snapToGrid w:val="0"/>
              <w:ind w:firstLine="480" w:firstLineChars="200"/>
              <w:rPr>
                <w:rFonts w:hint="default" w:ascii="宋体" w:hAnsi="宋体"/>
                <w:color w:val="auto"/>
                <w:sz w:val="24"/>
                <w:lang w:val="en-US" w:eastAsia="zh-CN"/>
              </w:rPr>
            </w:pPr>
            <w:r>
              <w:rPr>
                <w:rFonts w:hint="eastAsia" w:ascii="宋体" w:hAnsi="宋体"/>
                <w:color w:val="auto"/>
                <w:sz w:val="24"/>
                <w:lang w:val="en-US" w:eastAsia="zh-CN"/>
              </w:rPr>
              <w:t>16）五小门店管理：有《经营许可证》、</w:t>
            </w:r>
            <w:r>
              <w:rPr>
                <w:rFonts w:hint="eastAsia" w:ascii="宋体" w:hAnsi="宋体"/>
                <w:color w:val="000000" w:themeColor="text1"/>
                <w:sz w:val="24"/>
                <w:lang w:val="en-US" w:eastAsia="zh-CN"/>
                <w14:textFill>
                  <w14:solidFill>
                    <w14:schemeClr w14:val="tx1"/>
                  </w14:solidFill>
                </w14:textFill>
              </w:rPr>
              <w:t>《卫生许可证》，亮证经营；从业人员持健康证上岗，有“五病”调离的制度和记录；公共用品、用具消毒制度落实，有消毒设备、消毒措施和记录；餐饮单位全面实施量化分级管理，有量化分级管理标志；小加工店、小饮食店、小商店无出售过期、变质、伪劣食品（5分）。</w:t>
            </w:r>
          </w:p>
        </w:tc>
        <w:tc>
          <w:tcPr>
            <w:tcW w:w="1275" w:type="dxa"/>
            <w:noWrap w:val="0"/>
            <w:vAlign w:val="center"/>
          </w:tcPr>
          <w:p>
            <w:pPr>
              <w:snapToGrid w:val="0"/>
              <w:jc w:val="center"/>
              <w:rPr>
                <w:rFonts w:hint="eastAsia" w:ascii="宋体" w:hAnsi="宋体" w:cs="仿宋"/>
                <w:color w:val="auto"/>
                <w:sz w:val="24"/>
                <w:szCs w:val="24"/>
                <w:lang w:val="en-US" w:eastAsia="zh-CN"/>
              </w:rPr>
            </w:pP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restart"/>
            <w:noWrap w:val="0"/>
            <w:vAlign w:val="center"/>
          </w:tcPr>
          <w:p>
            <w:pPr>
              <w:widowControl w:val="0"/>
              <w:numPr>
                <w:ilvl w:val="0"/>
                <w:numId w:val="0"/>
              </w:numPr>
              <w:snapToGrid w:val="0"/>
              <w:jc w:val="center"/>
              <w:rPr>
                <w:rFonts w:hint="default" w:ascii="宋体" w:hAnsi="宋体"/>
                <w:color w:val="auto"/>
                <w:sz w:val="24"/>
                <w:lang w:val="en-US" w:eastAsia="zh-CN"/>
              </w:rPr>
            </w:pPr>
            <w:r>
              <w:rPr>
                <w:rFonts w:hint="eastAsia" w:ascii="宋体" w:hAnsi="宋体"/>
                <w:color w:val="auto"/>
                <w:sz w:val="24"/>
                <w:lang w:val="en-US" w:eastAsia="zh-CN"/>
              </w:rPr>
              <w:t>6</w:t>
            </w:r>
          </w:p>
        </w:tc>
        <w:tc>
          <w:tcPr>
            <w:tcW w:w="1560" w:type="dxa"/>
            <w:vMerge w:val="restart"/>
            <w:noWrap w:val="0"/>
            <w:vAlign w:val="center"/>
          </w:tcPr>
          <w:p>
            <w:pPr>
              <w:adjustRightInd w:val="0"/>
              <w:snapToGrid w:val="0"/>
              <w:jc w:val="center"/>
              <w:rPr>
                <w:rFonts w:hint="eastAsia" w:ascii="宋体" w:hAnsi="宋体" w:cs="仿宋"/>
                <w:bCs/>
                <w:color w:val="auto"/>
                <w:sz w:val="24"/>
                <w:szCs w:val="24"/>
                <w:lang w:val="en-US" w:eastAsia="zh-CN"/>
              </w:rPr>
            </w:pPr>
            <w:r>
              <w:rPr>
                <w:rFonts w:hint="eastAsia" w:ascii="宋体" w:hAnsi="宋体" w:cs="仿宋"/>
                <w:bCs/>
                <w:color w:val="auto"/>
                <w:sz w:val="24"/>
                <w:szCs w:val="24"/>
                <w:lang w:val="en-US" w:eastAsia="zh-CN"/>
              </w:rPr>
              <w:t>设施齐全</w:t>
            </w:r>
          </w:p>
          <w:p>
            <w:pPr>
              <w:adjustRightInd w:val="0"/>
              <w:snapToGrid w:val="0"/>
              <w:jc w:val="center"/>
              <w:rPr>
                <w:rFonts w:hint="default" w:ascii="宋体" w:hAnsi="宋体" w:cs="仿宋"/>
                <w:bCs/>
                <w:color w:val="auto"/>
                <w:sz w:val="24"/>
                <w:szCs w:val="24"/>
                <w:lang w:val="en-US" w:eastAsia="zh-CN"/>
              </w:rPr>
            </w:pPr>
            <w:r>
              <w:rPr>
                <w:rFonts w:hint="eastAsia" w:ascii="宋体" w:hAnsi="宋体" w:cs="仿宋"/>
                <w:bCs/>
                <w:color w:val="auto"/>
                <w:sz w:val="24"/>
                <w:szCs w:val="24"/>
                <w:lang w:val="en-US" w:eastAsia="zh-CN"/>
              </w:rPr>
              <w:t>19分</w:t>
            </w:r>
          </w:p>
        </w:tc>
        <w:tc>
          <w:tcPr>
            <w:tcW w:w="9885" w:type="dxa"/>
            <w:noWrap w:val="0"/>
            <w:vAlign w:val="center"/>
          </w:tcPr>
          <w:p>
            <w:pPr>
              <w:snapToGrid w:val="0"/>
              <w:ind w:firstLine="480" w:firstLineChars="200"/>
              <w:rPr>
                <w:rFonts w:hint="default" w:ascii="宋体" w:hAnsi="宋体"/>
                <w:color w:val="auto"/>
                <w:sz w:val="24"/>
                <w:lang w:val="en-US" w:eastAsia="zh-CN"/>
              </w:rPr>
            </w:pPr>
            <w:r>
              <w:rPr>
                <w:rFonts w:hint="eastAsia" w:ascii="宋体" w:hAnsi="宋体"/>
                <w:color w:val="auto"/>
                <w:sz w:val="24"/>
                <w:lang w:val="en-US" w:eastAsia="zh-CN"/>
              </w:rPr>
              <w:t>17）建有完备的</w:t>
            </w:r>
            <w:r>
              <w:rPr>
                <w:rFonts w:hint="eastAsia" w:ascii="宋体" w:hAnsi="宋体"/>
                <w:color w:val="000000" w:themeColor="text1"/>
                <w:sz w:val="24"/>
                <w:lang w:val="en-US" w:eastAsia="zh-CN"/>
                <w14:textFill>
                  <w14:solidFill>
                    <w14:schemeClr w14:val="tx1"/>
                  </w14:solidFill>
                </w14:textFill>
              </w:rPr>
              <w:t>便民服务中心</w:t>
            </w:r>
            <w:r>
              <w:rPr>
                <w:rFonts w:hint="eastAsia" w:ascii="宋体" w:hAnsi="宋体"/>
                <w:color w:val="auto"/>
                <w:sz w:val="24"/>
                <w:lang w:val="en-US" w:eastAsia="zh-CN"/>
              </w:rPr>
              <w:t>和社区卫生服务中心，设施齐备（2分）。</w:t>
            </w:r>
          </w:p>
        </w:tc>
        <w:tc>
          <w:tcPr>
            <w:tcW w:w="1275" w:type="dxa"/>
            <w:noWrap w:val="0"/>
            <w:vAlign w:val="center"/>
          </w:tcPr>
          <w:p>
            <w:pPr>
              <w:snapToGrid w:val="0"/>
              <w:jc w:val="center"/>
              <w:rPr>
                <w:rFonts w:hint="eastAsia" w:ascii="宋体" w:hAnsi="宋体" w:cs="仿宋"/>
                <w:sz w:val="24"/>
                <w:szCs w:val="24"/>
              </w:rPr>
            </w:pP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color w:val="auto"/>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auto"/>
                <w:sz w:val="24"/>
                <w:szCs w:val="24"/>
                <w:lang w:val="en-US" w:eastAsia="zh-CN"/>
              </w:rPr>
            </w:pP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18）设有综合文化服务中心，具备开展宣传文化、党员教育、市民教育、科普教育、普法教育等活动的设备条件(不少于3种)，正常向居民开放，无被挪用或侵占现象（3分）。</w:t>
            </w:r>
          </w:p>
        </w:tc>
        <w:tc>
          <w:tcPr>
            <w:tcW w:w="1275" w:type="dxa"/>
            <w:noWrap w:val="0"/>
            <w:vAlign w:val="center"/>
          </w:tcPr>
          <w:p>
            <w:pPr>
              <w:snapToGrid w:val="0"/>
              <w:jc w:val="center"/>
              <w:rPr>
                <w:rFonts w:hint="eastAsia" w:ascii="宋体" w:hAnsi="宋体" w:cs="仿宋"/>
                <w:sz w:val="24"/>
                <w:szCs w:val="24"/>
              </w:rPr>
            </w:pP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color w:val="auto"/>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auto"/>
                <w:sz w:val="24"/>
                <w:szCs w:val="24"/>
                <w:lang w:val="en-US" w:eastAsia="zh-CN"/>
              </w:rPr>
            </w:pPr>
          </w:p>
        </w:tc>
        <w:tc>
          <w:tcPr>
            <w:tcW w:w="9885" w:type="dxa"/>
            <w:noWrap w:val="0"/>
            <w:vAlign w:val="center"/>
          </w:tcPr>
          <w:p>
            <w:pPr>
              <w:snapToGrid w:val="0"/>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19）建有志愿服务站点和志愿服务队伍，聚焦空巢老人、留守儿童、困境儿童、残疾人等困难群体和文明旅游、文明交通、文化文艺、助学支教、智慧助老、医疗健康、环境保护、法律援助、科学普及、社会治安等重点内容，常态化开展志愿服务活动（4分）；在湖南志愿服务信息平台注册志愿者人数占辖区常住人口比例＞15%，有志愿服务时间记录的志愿者人数占注册志愿者总人数的比例≥60%。对视力残疾人和听力残疾人提供信息无障碍志愿服务（2分）。</w:t>
            </w:r>
          </w:p>
        </w:tc>
        <w:tc>
          <w:tcPr>
            <w:tcW w:w="1275" w:type="dxa"/>
            <w:noWrap w:val="0"/>
            <w:vAlign w:val="center"/>
          </w:tcPr>
          <w:p>
            <w:pPr>
              <w:snapToGrid w:val="0"/>
              <w:jc w:val="center"/>
              <w:rPr>
                <w:rFonts w:hint="eastAsia" w:ascii="宋体" w:hAnsi="宋体" w:cs="仿宋"/>
                <w:sz w:val="24"/>
                <w:szCs w:val="24"/>
              </w:rPr>
            </w:pPr>
            <w:r>
              <w:rPr>
                <w:rFonts w:hint="eastAsia" w:ascii="宋体" w:hAnsi="宋体"/>
                <w:sz w:val="24"/>
              </w:rPr>
              <w:t>材料审核</w:t>
            </w: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color w:val="auto"/>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auto"/>
                <w:sz w:val="24"/>
                <w:szCs w:val="24"/>
                <w:lang w:val="en-US" w:eastAsia="zh-CN"/>
              </w:rPr>
            </w:pPr>
          </w:p>
        </w:tc>
        <w:tc>
          <w:tcPr>
            <w:tcW w:w="9885" w:type="dxa"/>
            <w:noWrap w:val="0"/>
            <w:vAlign w:val="center"/>
          </w:tcPr>
          <w:p>
            <w:pPr>
              <w:snapToGrid w:val="0"/>
              <w:ind w:firstLine="480" w:firstLineChars="200"/>
              <w:rPr>
                <w:rFonts w:hint="default" w:ascii="宋体" w:hAnsi="宋体"/>
                <w:color w:val="FF0000"/>
                <w:sz w:val="24"/>
                <w:lang w:val="en-US" w:eastAsia="zh-CN"/>
              </w:rPr>
            </w:pPr>
            <w:r>
              <w:rPr>
                <w:rFonts w:hint="eastAsia" w:ascii="宋体" w:hAnsi="宋体"/>
                <w:color w:val="000000" w:themeColor="text1"/>
                <w:sz w:val="24"/>
                <w:lang w:val="en-US" w:eastAsia="zh-CN"/>
                <w14:textFill>
                  <w14:solidFill>
                    <w14:schemeClr w14:val="tx1"/>
                  </w14:solidFill>
                </w14:textFill>
              </w:rPr>
              <w:t>20）按照“有阵地、有队伍、有活动、有项目、有机制”的标准建设新时代文明实践站，常态化开展学习实践科学理论、宣传宣讲党的政策、培育和践行社会主义核心价值观、丰富活跃文化生活、持续深化移风易俗等活动（8分）。</w:t>
            </w:r>
          </w:p>
        </w:tc>
        <w:tc>
          <w:tcPr>
            <w:tcW w:w="1275" w:type="dxa"/>
            <w:noWrap w:val="0"/>
            <w:vAlign w:val="center"/>
          </w:tcPr>
          <w:p>
            <w:pPr>
              <w:snapToGrid w:val="0"/>
              <w:jc w:val="center"/>
              <w:rPr>
                <w:rFonts w:hint="eastAsia" w:ascii="宋体" w:hAnsi="宋体" w:cs="仿宋"/>
                <w:sz w:val="24"/>
                <w:szCs w:val="24"/>
              </w:rPr>
            </w:pPr>
            <w:r>
              <w:rPr>
                <w:rFonts w:hint="eastAsia" w:ascii="宋体" w:hAnsi="宋体"/>
                <w:sz w:val="24"/>
              </w:rPr>
              <w:t>材料审核</w:t>
            </w:r>
            <w:r>
              <w:rPr>
                <w:rFonts w:hint="eastAsia" w:ascii="宋体" w:hAnsi="宋体" w:cs="仿宋"/>
                <w:sz w:val="24"/>
                <w:szCs w:val="24"/>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restart"/>
            <w:noWrap w:val="0"/>
            <w:vAlign w:val="center"/>
          </w:tcPr>
          <w:p>
            <w:pPr>
              <w:widowControl w:val="0"/>
              <w:numPr>
                <w:ilvl w:val="0"/>
                <w:numId w:val="0"/>
              </w:numPr>
              <w:snapToGrid w:val="0"/>
              <w:jc w:val="center"/>
              <w:rPr>
                <w:rFonts w:hint="default" w:ascii="宋体" w:hAnsi="宋体"/>
                <w:color w:val="auto"/>
                <w:sz w:val="24"/>
                <w:lang w:val="en-US" w:eastAsia="zh-CN"/>
              </w:rPr>
            </w:pPr>
            <w:r>
              <w:rPr>
                <w:rFonts w:hint="eastAsia" w:ascii="宋体" w:hAnsi="宋体"/>
                <w:color w:val="auto"/>
                <w:sz w:val="24"/>
                <w:lang w:val="en-US" w:eastAsia="zh-CN"/>
              </w:rPr>
              <w:t>7</w:t>
            </w:r>
          </w:p>
        </w:tc>
        <w:tc>
          <w:tcPr>
            <w:tcW w:w="1560" w:type="dxa"/>
            <w:vMerge w:val="restart"/>
            <w:noWrap w:val="0"/>
            <w:vAlign w:val="center"/>
          </w:tcPr>
          <w:p>
            <w:pPr>
              <w:adjustRightInd w:val="0"/>
              <w:snapToGrid w:val="0"/>
              <w:jc w:val="center"/>
              <w:rPr>
                <w:rFonts w:hint="eastAsia" w:ascii="宋体" w:hAnsi="宋体" w:cs="仿宋"/>
                <w:bCs/>
                <w:color w:val="auto"/>
                <w:sz w:val="24"/>
                <w:szCs w:val="24"/>
                <w:lang w:val="en-US" w:eastAsia="zh-CN"/>
              </w:rPr>
            </w:pPr>
            <w:r>
              <w:rPr>
                <w:rFonts w:hint="eastAsia" w:ascii="宋体" w:hAnsi="宋体" w:cs="仿宋"/>
                <w:bCs/>
                <w:color w:val="auto"/>
                <w:sz w:val="24"/>
                <w:szCs w:val="24"/>
                <w:lang w:val="en-US" w:eastAsia="zh-CN"/>
              </w:rPr>
              <w:t>服务规范</w:t>
            </w:r>
          </w:p>
          <w:p>
            <w:pPr>
              <w:adjustRightInd w:val="0"/>
              <w:snapToGrid w:val="0"/>
              <w:jc w:val="center"/>
              <w:rPr>
                <w:rFonts w:hint="default" w:ascii="宋体" w:hAnsi="宋体" w:cs="仿宋"/>
                <w:bCs/>
                <w:color w:val="auto"/>
                <w:sz w:val="24"/>
                <w:szCs w:val="24"/>
                <w:lang w:val="en-US" w:eastAsia="zh-CN"/>
              </w:rPr>
            </w:pPr>
            <w:r>
              <w:rPr>
                <w:rFonts w:hint="eastAsia" w:ascii="宋体" w:hAnsi="宋体" w:cs="仿宋"/>
                <w:bCs/>
                <w:color w:val="auto"/>
                <w:sz w:val="24"/>
                <w:szCs w:val="24"/>
                <w:lang w:val="en-US" w:eastAsia="zh-CN"/>
              </w:rPr>
              <w:t>10分</w:t>
            </w:r>
          </w:p>
        </w:tc>
        <w:tc>
          <w:tcPr>
            <w:tcW w:w="9885" w:type="dxa"/>
            <w:noWrap w:val="0"/>
            <w:vAlign w:val="center"/>
          </w:tcPr>
          <w:p>
            <w:pPr>
              <w:snapToGrid w:val="0"/>
              <w:ind w:firstLine="480" w:firstLineChars="200"/>
              <w:rPr>
                <w:rFonts w:hint="default" w:ascii="宋体" w:hAnsi="宋体"/>
                <w:color w:val="auto"/>
                <w:sz w:val="24"/>
                <w:lang w:val="en-US" w:eastAsia="zh-CN"/>
              </w:rPr>
            </w:pPr>
            <w:r>
              <w:rPr>
                <w:rFonts w:hint="eastAsia" w:ascii="宋体" w:hAnsi="宋体"/>
                <w:color w:val="auto"/>
                <w:sz w:val="24"/>
                <w:lang w:val="en-US" w:eastAsia="zh-CN"/>
              </w:rPr>
              <w:t>21）建立健全完善的服务机制和服务网络，社区居民对社区的各项服务满意度达到85%以上（4分）。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p>
            <w:pPr>
              <w:snapToGrid w:val="0"/>
              <w:jc w:val="center"/>
              <w:rPr>
                <w:rFonts w:hint="eastAsia" w:ascii="宋体" w:hAnsi="宋体" w:eastAsia="宋体"/>
                <w:sz w:val="24"/>
                <w:lang w:val="en-US" w:eastAsia="zh-CN"/>
              </w:rPr>
            </w:pPr>
            <w:r>
              <w:rPr>
                <w:rFonts w:hint="eastAsia" w:ascii="宋体" w:hAnsi="宋体"/>
                <w:sz w:val="24"/>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color w:val="auto"/>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auto"/>
                <w:sz w:val="24"/>
                <w:szCs w:val="24"/>
                <w:lang w:val="en-US" w:eastAsia="zh-CN"/>
              </w:rPr>
            </w:pPr>
          </w:p>
        </w:tc>
        <w:tc>
          <w:tcPr>
            <w:tcW w:w="9885" w:type="dxa"/>
            <w:noWrap w:val="0"/>
            <w:vAlign w:val="center"/>
          </w:tcPr>
          <w:p>
            <w:pPr>
              <w:snapToGrid w:val="0"/>
              <w:ind w:firstLine="480" w:firstLineChars="200"/>
              <w:rPr>
                <w:rFonts w:hint="default" w:ascii="宋体" w:hAnsi="宋体"/>
                <w:color w:val="auto"/>
                <w:sz w:val="24"/>
                <w:lang w:val="en-US" w:eastAsia="zh-CN"/>
              </w:rPr>
            </w:pPr>
            <w:r>
              <w:rPr>
                <w:rFonts w:hint="eastAsia" w:ascii="宋体" w:hAnsi="宋体"/>
                <w:color w:val="auto"/>
                <w:sz w:val="24"/>
                <w:lang w:val="en-US" w:eastAsia="zh-CN"/>
              </w:rPr>
              <w:t>22）建立党建引领下的居民委员会、业主委员会、物业公司协调运行机制，健全民主协商、民主决策、民主管理和民主监督制度，社区与业主委员会、物业公司配合密切，共同开展各种志愿者服务和群众互助服务活动，邻里和睦，并友善对待外来人员（3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vMerge w:val="continue"/>
            <w:noWrap w:val="0"/>
            <w:vAlign w:val="center"/>
          </w:tcPr>
          <w:p>
            <w:pPr>
              <w:widowControl w:val="0"/>
              <w:numPr>
                <w:ilvl w:val="0"/>
                <w:numId w:val="0"/>
              </w:numPr>
              <w:snapToGrid w:val="0"/>
              <w:jc w:val="center"/>
              <w:rPr>
                <w:rFonts w:hint="eastAsia" w:ascii="宋体" w:hAnsi="宋体"/>
                <w:color w:val="auto"/>
                <w:sz w:val="24"/>
                <w:lang w:val="en-US" w:eastAsia="zh-CN"/>
              </w:rPr>
            </w:pPr>
          </w:p>
        </w:tc>
        <w:tc>
          <w:tcPr>
            <w:tcW w:w="1560" w:type="dxa"/>
            <w:vMerge w:val="continue"/>
            <w:noWrap w:val="0"/>
            <w:vAlign w:val="center"/>
          </w:tcPr>
          <w:p>
            <w:pPr>
              <w:adjustRightInd w:val="0"/>
              <w:snapToGrid w:val="0"/>
              <w:jc w:val="center"/>
              <w:rPr>
                <w:rFonts w:hint="eastAsia" w:ascii="宋体" w:hAnsi="宋体" w:cs="仿宋"/>
                <w:bCs/>
                <w:color w:val="auto"/>
                <w:sz w:val="24"/>
                <w:szCs w:val="24"/>
                <w:lang w:val="en-US" w:eastAsia="zh-CN"/>
              </w:rPr>
            </w:pPr>
          </w:p>
        </w:tc>
        <w:tc>
          <w:tcPr>
            <w:tcW w:w="9885" w:type="dxa"/>
            <w:noWrap w:val="0"/>
            <w:vAlign w:val="center"/>
          </w:tcPr>
          <w:p>
            <w:pPr>
              <w:snapToGrid w:val="0"/>
              <w:ind w:firstLine="480" w:firstLineChars="200"/>
              <w:rPr>
                <w:rFonts w:hint="default" w:ascii="宋体" w:hAnsi="宋体"/>
                <w:color w:val="auto"/>
                <w:sz w:val="24"/>
                <w:lang w:val="en-US" w:eastAsia="zh-CN"/>
              </w:rPr>
            </w:pPr>
            <w:r>
              <w:rPr>
                <w:rFonts w:hint="eastAsia" w:ascii="宋体" w:hAnsi="宋体"/>
                <w:color w:val="auto"/>
                <w:sz w:val="24"/>
                <w:lang w:val="en-US" w:eastAsia="zh-CN"/>
              </w:rPr>
              <w:t>23）社区物业管理规范。公开收费项目、收费标准、办事制度；工作人员全天候值班、报修及时（水电小修不过夜）；公众满意度80%以上（3分）。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p>
            <w:pPr>
              <w:snapToGrid w:val="0"/>
              <w:jc w:val="center"/>
              <w:rPr>
                <w:rFonts w:hint="eastAsia" w:ascii="宋体" w:hAnsi="宋体"/>
                <w:sz w:val="24"/>
              </w:rPr>
            </w:pPr>
            <w:r>
              <w:rPr>
                <w:rFonts w:hint="eastAsia" w:ascii="宋体" w:hAnsi="宋体"/>
                <w:sz w:val="24"/>
                <w:lang w:val="en-US" w:eastAsia="zh-CN"/>
              </w:rPr>
              <w:t>问卷调查</w:t>
            </w:r>
          </w:p>
        </w:tc>
      </w:tr>
    </w:tbl>
    <w:p>
      <w:pPr>
        <w:ind w:firstLine="640"/>
        <w:rPr>
          <w:rFonts w:hint="default" w:ascii="仿宋_GB2312" w:hAnsi="仿宋_GB2312" w:eastAsia="仿宋_GB2312" w:cs="仿宋_GB2312"/>
          <w:color w:val="auto"/>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snapToGrid w:val="0"/>
        <w:spacing w:after="312" w:afterLines="100"/>
        <w:ind w:left="0" w:leftChars="0" w:firstLine="0" w:firstLineChars="0"/>
        <w:jc w:val="center"/>
        <w:rPr>
          <w:rFonts w:hint="eastAsia" w:ascii="汉仪大宋简" w:hAnsi="宋体" w:eastAsia="汉仪大宋简"/>
          <w:bCs/>
          <w:sz w:val="44"/>
        </w:rPr>
      </w:pPr>
      <w:r>
        <w:rPr>
          <w:rFonts w:hint="eastAsia" w:ascii="汉仪大宋简" w:hAnsi="宋体" w:eastAsia="汉仪大宋简"/>
          <w:bCs/>
          <w:sz w:val="44"/>
        </w:rPr>
        <w:t>特 色 指 标</w:t>
      </w:r>
    </w:p>
    <w:tbl>
      <w:tblPr>
        <w:tblStyle w:val="8"/>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1560"/>
        <w:gridCol w:w="98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blHeader/>
          <w:jc w:val="center"/>
        </w:trPr>
        <w:tc>
          <w:tcPr>
            <w:tcW w:w="1320" w:type="dxa"/>
            <w:noWrap w:val="0"/>
            <w:vAlign w:val="center"/>
          </w:tcPr>
          <w:p>
            <w:pPr>
              <w:snapToGrid w:val="0"/>
              <w:jc w:val="center"/>
              <w:rPr>
                <w:rFonts w:hint="eastAsia" w:ascii="宋体" w:hAnsi="宋体" w:eastAsia="宋体"/>
                <w:b/>
                <w:sz w:val="24"/>
                <w:lang w:eastAsia="zh-CN"/>
              </w:rPr>
            </w:pPr>
            <w:r>
              <w:rPr>
                <w:rFonts w:hint="eastAsia" w:ascii="宋体" w:hAnsi="宋体"/>
                <w:b/>
                <w:sz w:val="24"/>
                <w:lang w:val="en-US" w:eastAsia="zh-CN"/>
              </w:rPr>
              <w:t>序号</w:t>
            </w:r>
          </w:p>
        </w:tc>
        <w:tc>
          <w:tcPr>
            <w:tcW w:w="1560" w:type="dxa"/>
            <w:noWrap w:val="0"/>
            <w:vAlign w:val="center"/>
          </w:tcPr>
          <w:p>
            <w:pPr>
              <w:snapToGrid w:val="0"/>
              <w:jc w:val="center"/>
              <w:rPr>
                <w:rFonts w:hint="eastAsia" w:ascii="宋体" w:hAnsi="宋体"/>
                <w:b/>
                <w:sz w:val="24"/>
              </w:rPr>
            </w:pPr>
            <w:r>
              <w:rPr>
                <w:rFonts w:hint="eastAsia" w:ascii="宋体" w:hAnsi="宋体"/>
                <w:b/>
                <w:sz w:val="24"/>
              </w:rPr>
              <w:t>考评内容</w:t>
            </w:r>
          </w:p>
        </w:tc>
        <w:tc>
          <w:tcPr>
            <w:tcW w:w="9885" w:type="dxa"/>
            <w:noWrap w:val="0"/>
            <w:vAlign w:val="center"/>
          </w:tcPr>
          <w:p>
            <w:pPr>
              <w:snapToGrid w:val="0"/>
              <w:jc w:val="center"/>
              <w:rPr>
                <w:rFonts w:hint="eastAsia" w:ascii="宋体" w:hAnsi="宋体"/>
                <w:b/>
                <w:sz w:val="24"/>
              </w:rPr>
            </w:pPr>
            <w:r>
              <w:rPr>
                <w:rFonts w:hint="eastAsia" w:ascii="宋体" w:hAnsi="宋体"/>
                <w:b/>
                <w:sz w:val="24"/>
              </w:rPr>
              <w:t>考评标准</w:t>
            </w:r>
          </w:p>
        </w:tc>
        <w:tc>
          <w:tcPr>
            <w:tcW w:w="1275" w:type="dxa"/>
            <w:noWrap w:val="0"/>
            <w:vAlign w:val="center"/>
          </w:tcPr>
          <w:p>
            <w:pPr>
              <w:snapToGrid w:val="0"/>
              <w:jc w:val="center"/>
              <w:rPr>
                <w:rFonts w:hint="eastAsia" w:ascii="宋体" w:hAnsi="宋体"/>
                <w:b/>
                <w:sz w:val="24"/>
              </w:rPr>
            </w:pPr>
            <w:r>
              <w:rPr>
                <w:rFonts w:hint="eastAsia" w:ascii="宋体" w:hAnsi="宋体"/>
                <w:b/>
                <w:sz w:val="24"/>
              </w:rPr>
              <w:t>考评方法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noWrap w:val="0"/>
            <w:vAlign w:val="center"/>
          </w:tcPr>
          <w:p>
            <w:pPr>
              <w:widowControl w:val="0"/>
              <w:numPr>
                <w:ilvl w:val="0"/>
                <w:numId w:val="0"/>
              </w:numPr>
              <w:snapToGrid w:val="0"/>
              <w:jc w:val="center"/>
              <w:rPr>
                <w:rFonts w:hint="default" w:ascii="宋体" w:hAnsi="宋体"/>
                <w:sz w:val="24"/>
                <w:lang w:val="en-US" w:eastAsia="zh-CN"/>
              </w:rPr>
            </w:pPr>
            <w:r>
              <w:rPr>
                <w:rFonts w:hint="eastAsia" w:ascii="宋体" w:hAnsi="宋体"/>
                <w:sz w:val="24"/>
                <w:lang w:val="en-US" w:eastAsia="zh-CN"/>
              </w:rPr>
              <w:t>1</w:t>
            </w:r>
          </w:p>
        </w:tc>
        <w:tc>
          <w:tcPr>
            <w:tcW w:w="1560" w:type="dxa"/>
            <w:noWrap w:val="0"/>
            <w:vAlign w:val="center"/>
          </w:tcPr>
          <w:p>
            <w:pPr>
              <w:adjustRightInd w:val="0"/>
              <w:snapToGrid w:val="0"/>
              <w:jc w:val="center"/>
              <w:rPr>
                <w:rFonts w:hint="default"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cs="仿宋"/>
                <w:bCs/>
                <w:color w:val="000000" w:themeColor="text1"/>
                <w:sz w:val="24"/>
                <w:szCs w:val="24"/>
                <w:lang w:val="en-US" w:eastAsia="zh-CN"/>
                <w14:textFill>
                  <w14:solidFill>
                    <w14:schemeClr w14:val="tx1"/>
                  </w14:solidFill>
                </w14:textFill>
              </w:rPr>
              <w:t>荣誉称号</w:t>
            </w:r>
          </w:p>
        </w:tc>
        <w:tc>
          <w:tcPr>
            <w:tcW w:w="9885" w:type="dxa"/>
            <w:noWrap w:val="0"/>
            <w:vAlign w:val="center"/>
          </w:tcPr>
          <w:p>
            <w:pPr>
              <w:snapToGrid w:val="0"/>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eastAsia="宋体"/>
                <w:color w:val="000000" w:themeColor="text1"/>
                <w:sz w:val="24"/>
                <w:lang w:eastAsia="zh-CN"/>
                <w14:textFill>
                  <w14:solidFill>
                    <w14:schemeClr w14:val="tx1"/>
                  </w14:solidFill>
                </w14:textFill>
              </w:rPr>
              <w:t>测评前一年内（以发文时间为准），</w:t>
            </w:r>
            <w:r>
              <w:rPr>
                <w:rFonts w:hint="eastAsia" w:ascii="宋体" w:hAnsi="宋体"/>
                <w:color w:val="000000" w:themeColor="text1"/>
                <w:sz w:val="24"/>
                <w:lang w:val="en-US" w:eastAsia="zh-CN"/>
                <w14:textFill>
                  <w14:solidFill>
                    <w14:schemeClr w14:val="tx1"/>
                  </w14:solidFill>
                </w14:textFill>
              </w:rPr>
              <w:t>社区（小区）</w:t>
            </w:r>
            <w:r>
              <w:rPr>
                <w:rFonts w:hint="eastAsia" w:ascii="宋体" w:hAnsi="宋体" w:eastAsia="宋体"/>
                <w:color w:val="000000" w:themeColor="text1"/>
                <w:sz w:val="24"/>
                <w:lang w:eastAsia="zh-CN"/>
                <w14:textFill>
                  <w14:solidFill>
                    <w14:schemeClr w14:val="tx1"/>
                  </w14:solidFill>
                </w14:textFill>
              </w:rPr>
              <w:t>获国家级荣誉称号的，每一项加2分；获省部级荣誉称号的，每一项加1分；获市级荣誉称号的，每一项加0.5分；该项累计最多加10分。</w:t>
            </w:r>
          </w:p>
          <w:p>
            <w:pPr>
              <w:snapToGrid w:val="0"/>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eastAsia="宋体"/>
                <w:color w:val="000000" w:themeColor="text1"/>
                <w:sz w:val="24"/>
                <w:lang w:eastAsia="zh-CN"/>
                <w14:textFill>
                  <w14:solidFill>
                    <w14:schemeClr w14:val="tx1"/>
                  </w14:solidFill>
                </w14:textFill>
              </w:rPr>
              <w:t>注：“获得国家、省部级、市级荣誉称号”指经党中央国务院、省委省政府、市委市政府批准保留，由中央国家机关部门、省直部门、市直部门组织评选表彰的荣誉称号。</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1320" w:type="dxa"/>
            <w:noWrap w:val="0"/>
            <w:vAlign w:val="center"/>
          </w:tcPr>
          <w:p>
            <w:pPr>
              <w:widowControl w:val="0"/>
              <w:numPr>
                <w:ilvl w:val="0"/>
                <w:numId w:val="0"/>
              </w:numPr>
              <w:snapToGrid w:val="0"/>
              <w:jc w:val="center"/>
              <w:rPr>
                <w:rFonts w:hint="default" w:ascii="宋体" w:hAnsi="宋体"/>
                <w:sz w:val="24"/>
                <w:lang w:val="en-US" w:eastAsia="zh-CN"/>
              </w:rPr>
            </w:pPr>
            <w:r>
              <w:rPr>
                <w:rFonts w:hint="eastAsia" w:ascii="宋体" w:hAnsi="宋体"/>
                <w:sz w:val="24"/>
                <w:lang w:val="en-US" w:eastAsia="zh-CN"/>
              </w:rPr>
              <w:t>2</w:t>
            </w:r>
          </w:p>
        </w:tc>
        <w:tc>
          <w:tcPr>
            <w:tcW w:w="1560" w:type="dxa"/>
            <w:noWrap w:val="0"/>
            <w:vAlign w:val="center"/>
          </w:tcPr>
          <w:p>
            <w:pPr>
              <w:adjustRightInd w:val="0"/>
              <w:snapToGrid w:val="0"/>
              <w:jc w:val="center"/>
              <w:rPr>
                <w:rFonts w:hint="default" w:ascii="宋体" w:hAnsi="宋体" w:eastAsia="宋体" w:cs="仿宋"/>
                <w:bCs/>
                <w:color w:val="000000" w:themeColor="text1"/>
                <w:sz w:val="24"/>
                <w:szCs w:val="24"/>
                <w:lang w:val="en-US" w:eastAsia="zh-CN"/>
                <w14:textFill>
                  <w14:solidFill>
                    <w14:schemeClr w14:val="tx1"/>
                  </w14:solidFill>
                </w14:textFill>
              </w:rPr>
            </w:pPr>
            <w:r>
              <w:rPr>
                <w:rFonts w:hint="eastAsia" w:ascii="宋体" w:hAnsi="宋体" w:cs="仿宋"/>
                <w:bCs/>
                <w:color w:val="000000" w:themeColor="text1"/>
                <w:sz w:val="24"/>
                <w:szCs w:val="24"/>
                <w:lang w:val="en-US" w:eastAsia="zh-CN"/>
                <w14:textFill>
                  <w14:solidFill>
                    <w14:schemeClr w14:val="tx1"/>
                  </w14:solidFill>
                </w14:textFill>
              </w:rPr>
              <w:t>经验推介</w:t>
            </w:r>
          </w:p>
        </w:tc>
        <w:tc>
          <w:tcPr>
            <w:tcW w:w="9885" w:type="dxa"/>
            <w:noWrap w:val="0"/>
            <w:vAlign w:val="center"/>
          </w:tcPr>
          <w:p>
            <w:pPr>
              <w:snapToGrid w:val="0"/>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eastAsia="宋体"/>
                <w:color w:val="000000" w:themeColor="text1"/>
                <w:sz w:val="24"/>
                <w:lang w:eastAsia="zh-CN"/>
                <w14:textFill>
                  <w14:solidFill>
                    <w14:schemeClr w14:val="tx1"/>
                  </w14:solidFill>
                </w14:textFill>
              </w:rPr>
              <w:t>近两年来文明创建工作经验被中央、省级、市级主流媒体推介，或在全国、全省、全市性工作会议上交流发言，每1项加0.5分，4项以上得2分。</w:t>
            </w:r>
          </w:p>
          <w:p>
            <w:pPr>
              <w:snapToGrid w:val="0"/>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eastAsia="宋体"/>
                <w:color w:val="000000" w:themeColor="text1"/>
                <w:sz w:val="24"/>
                <w:lang w:eastAsia="zh-CN"/>
                <w14:textFill>
                  <w14:solidFill>
                    <w14:schemeClr w14:val="tx1"/>
                  </w14:solidFill>
                </w14:textFill>
              </w:rPr>
              <w:t>注：中央主流媒体是指《人民日报》、央视综合频道、央视新闻频道、光明日报、《新华每日电讯》等；省直主流媒体指《湖南日报》、湖南卫视《新闻联播》、《新湘评论》等；市级媒体是指岳阳日报、岳阳电视台新闻频道等。工作会议不含调研、督查、内部座谈会等。同一内容不重复加分。</w:t>
            </w:r>
          </w:p>
        </w:tc>
        <w:tc>
          <w:tcPr>
            <w:tcW w:w="1275" w:type="dxa"/>
            <w:noWrap w:val="0"/>
            <w:vAlign w:val="center"/>
          </w:tcPr>
          <w:p>
            <w:pPr>
              <w:snapToGrid w:val="0"/>
              <w:jc w:val="center"/>
              <w:rPr>
                <w:rFonts w:hint="eastAsia" w:ascii="宋体" w:hAnsi="宋体"/>
                <w:sz w:val="24"/>
              </w:rPr>
            </w:pPr>
            <w:r>
              <w:rPr>
                <w:rFonts w:hint="eastAsia" w:ascii="宋体" w:hAnsi="宋体"/>
                <w:sz w:val="24"/>
              </w:rPr>
              <w:t>材料审核</w:t>
            </w:r>
          </w:p>
        </w:tc>
      </w:tr>
    </w:tbl>
    <w:p>
      <w:pPr>
        <w:ind w:firstLine="640"/>
        <w:rPr>
          <w:rFonts w:hint="default" w:ascii="仿宋_GB2312" w:hAnsi="仿宋_GB2312" w:eastAsia="仿宋_GB2312" w:cs="仿宋_GB2312"/>
          <w:color w:val="auto"/>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snapToGrid w:val="0"/>
        <w:spacing w:after="312" w:afterLines="100"/>
        <w:jc w:val="center"/>
        <w:rPr>
          <w:rFonts w:ascii="汉仪大宋简" w:hAnsi="宋体" w:eastAsia="汉仪大宋简"/>
          <w:bCs/>
          <w:sz w:val="44"/>
        </w:rPr>
      </w:pPr>
      <w:r>
        <w:rPr>
          <w:rFonts w:hint="eastAsia" w:ascii="汉仪大宋简" w:hAnsi="宋体" w:eastAsia="汉仪大宋简"/>
          <w:bCs/>
          <w:sz w:val="44"/>
          <w:lang w:val="en-US" w:eastAsia="zh-CN"/>
        </w:rPr>
        <w:t>岳阳市</w:t>
      </w:r>
      <w:r>
        <w:rPr>
          <w:rFonts w:hint="eastAsia" w:ascii="汉仪大宋简" w:hAnsi="宋体" w:eastAsia="汉仪大宋简"/>
          <w:bCs/>
          <w:sz w:val="44"/>
        </w:rPr>
        <w:t>文明</w:t>
      </w:r>
      <w:r>
        <w:rPr>
          <w:rFonts w:hint="eastAsia" w:ascii="汉仪大宋简" w:hAnsi="宋体" w:eastAsia="汉仪大宋简"/>
          <w:bCs/>
          <w:sz w:val="44"/>
          <w:lang w:val="en-US" w:eastAsia="zh-CN"/>
        </w:rPr>
        <w:t>社区（小区）</w:t>
      </w:r>
      <w:r>
        <w:rPr>
          <w:rFonts w:hint="eastAsia" w:ascii="汉仪大宋简" w:hAnsi="宋体" w:eastAsia="汉仪大宋简"/>
          <w:bCs/>
          <w:sz w:val="44"/>
        </w:rPr>
        <w:t>创建动态管理措施（负面清单）</w:t>
      </w:r>
    </w:p>
    <w:tbl>
      <w:tblPr>
        <w:tblStyle w:val="8"/>
        <w:tblW w:w="49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784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 w:val="24"/>
              </w:rPr>
            </w:pPr>
            <w:r>
              <w:rPr>
                <w:rFonts w:hint="eastAsia" w:ascii="宋体" w:hAnsi="宋体"/>
                <w:b/>
                <w:sz w:val="24"/>
              </w:rPr>
              <w:t>序号</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项  目</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jc w:val="center"/>
              <w:rPr>
                <w:b/>
                <w:sz w:val="24"/>
              </w:rPr>
            </w:pPr>
            <w:r>
              <w:rPr>
                <w:b/>
                <w:sz w:val="24"/>
              </w:rPr>
              <w:t>惩 戒 办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Cs/>
                <w:kern w:val="0"/>
                <w:sz w:val="24"/>
              </w:rPr>
            </w:pPr>
            <w:r>
              <w:rPr>
                <w:rFonts w:ascii="宋体" w:hAnsi="宋体"/>
                <w:bCs/>
                <w:sz w:val="24"/>
              </w:rPr>
              <w:t>1</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snapToGrid w:val="0"/>
              <w:rPr>
                <w:sz w:val="24"/>
              </w:rPr>
            </w:pPr>
            <w:r>
              <w:rPr>
                <w:rFonts w:hint="eastAsia"/>
                <w:sz w:val="24"/>
                <w:lang w:val="en-US" w:eastAsia="zh-CN"/>
              </w:rPr>
              <w:t>社区</w:t>
            </w:r>
            <w:r>
              <w:rPr>
                <w:rFonts w:hint="eastAsia"/>
                <w:sz w:val="24"/>
              </w:rPr>
              <w:t>“两委”班子履行意识形态工作责任制不到位</w:t>
            </w:r>
            <w:r>
              <w:rPr>
                <w:sz w:val="24"/>
              </w:rPr>
              <w:t>，或精神文明建设严重滑坡</w:t>
            </w:r>
            <w:r>
              <w:rPr>
                <w:rFonts w:hint="eastAsia"/>
                <w:sz w:val="24"/>
              </w:rPr>
              <w:t>。</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kern w:val="0"/>
                <w:sz w:val="24"/>
              </w:rPr>
            </w:pPr>
            <w:r>
              <w:rPr>
                <w:rFonts w:hint="eastAsia"/>
                <w:sz w:val="24"/>
                <w:lang w:val="en-US" w:eastAsia="zh-CN"/>
              </w:rPr>
              <w:t>市</w:t>
            </w:r>
            <w:r>
              <w:rPr>
                <w:sz w:val="24"/>
              </w:rPr>
              <w:t>文明</w:t>
            </w:r>
            <w:r>
              <w:rPr>
                <w:rFonts w:hint="eastAsia"/>
                <w:sz w:val="24"/>
                <w:lang w:val="en-US" w:eastAsia="zh-CN"/>
              </w:rPr>
              <w:t>社区（小区）</w:t>
            </w:r>
            <w:r>
              <w:rPr>
                <w:sz w:val="24"/>
              </w:rPr>
              <w:t>取消荣誉称号；申报参评前12个月发生的，取消参评资格。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Cs/>
                <w:sz w:val="24"/>
              </w:rPr>
            </w:pPr>
            <w:r>
              <w:rPr>
                <w:rFonts w:hint="eastAsia" w:ascii="宋体" w:hAnsi="宋体"/>
                <w:bCs/>
                <w:sz w:val="24"/>
              </w:rPr>
              <w:t>2</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sz w:val="24"/>
              </w:rPr>
            </w:pPr>
            <w:r>
              <w:rPr>
                <w:rFonts w:hint="eastAsia"/>
                <w:sz w:val="24"/>
                <w:lang w:val="en-US" w:eastAsia="zh-CN"/>
              </w:rPr>
              <w:t>社区</w:t>
            </w:r>
            <w:r>
              <w:rPr>
                <w:rFonts w:hint="eastAsia"/>
                <w:sz w:val="24"/>
              </w:rPr>
              <w:t>“两委”</w:t>
            </w:r>
            <w:r>
              <w:rPr>
                <w:sz w:val="24"/>
              </w:rPr>
              <w:t>班子主要负责人严重违纪或违法犯罪</w:t>
            </w:r>
            <w:r>
              <w:rPr>
                <w:rFonts w:hint="eastAsia"/>
                <w:sz w:val="24"/>
              </w:rPr>
              <w:t>，或</w:t>
            </w:r>
            <w:r>
              <w:rPr>
                <w:rFonts w:hint="eastAsia"/>
                <w:sz w:val="24"/>
                <w:lang w:val="en-US" w:eastAsia="zh-CN"/>
              </w:rPr>
              <w:t>社区</w:t>
            </w:r>
            <w:r>
              <w:rPr>
                <w:rFonts w:hint="eastAsia"/>
                <w:sz w:val="24"/>
              </w:rPr>
              <w:t>“两委”其他</w:t>
            </w:r>
            <w:r>
              <w:rPr>
                <w:sz w:val="24"/>
              </w:rPr>
              <w:t>班子成员</w:t>
            </w:r>
            <w:r>
              <w:rPr>
                <w:rFonts w:hint="eastAsia"/>
                <w:sz w:val="24"/>
              </w:rPr>
              <w:t>3人（含）以上</w:t>
            </w:r>
            <w:r>
              <w:rPr>
                <w:sz w:val="24"/>
              </w:rPr>
              <w:t>严重违纪或违法犯罪</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sz w:val="24"/>
              </w:rPr>
            </w:pPr>
            <w:r>
              <w:rPr>
                <w:rFonts w:hint="eastAsia"/>
                <w:sz w:val="24"/>
                <w:lang w:val="en-US" w:eastAsia="zh-CN"/>
              </w:rPr>
              <w:t>市</w:t>
            </w:r>
            <w:r>
              <w:rPr>
                <w:sz w:val="24"/>
              </w:rPr>
              <w:t>文明</w:t>
            </w:r>
            <w:r>
              <w:rPr>
                <w:rFonts w:hint="eastAsia"/>
                <w:sz w:val="24"/>
                <w:lang w:val="en-US" w:eastAsia="zh-CN"/>
              </w:rPr>
              <w:t>社区（小区）</w:t>
            </w:r>
            <w:r>
              <w:rPr>
                <w:sz w:val="24"/>
              </w:rPr>
              <w:t>取消荣誉称号；</w:t>
            </w:r>
            <w:r>
              <w:rPr>
                <w:kern w:val="0"/>
                <w:sz w:val="24"/>
              </w:rPr>
              <w:t>申报参评前12个月发生的，取消参评资格。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960" w:type="dxa"/>
            <w:tcBorders>
              <w:top w:val="single" w:color="auto" w:sz="4" w:space="0"/>
              <w:left w:val="single" w:color="auto" w:sz="4" w:space="0"/>
              <w:right w:val="single" w:color="auto" w:sz="4" w:space="0"/>
            </w:tcBorders>
            <w:noWrap w:val="0"/>
            <w:vAlign w:val="center"/>
          </w:tcPr>
          <w:p>
            <w:pPr>
              <w:jc w:val="center"/>
              <w:rPr>
                <w:rFonts w:ascii="宋体" w:hAnsi="宋体"/>
                <w:bCs/>
                <w:sz w:val="24"/>
              </w:rPr>
            </w:pPr>
            <w:r>
              <w:rPr>
                <w:rFonts w:ascii="宋体" w:hAnsi="宋体"/>
                <w:bCs/>
                <w:sz w:val="24"/>
              </w:rPr>
              <w:t>3</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sz w:val="24"/>
                <w:lang w:val="en-US" w:eastAsia="zh-CN"/>
              </w:rPr>
              <w:t>社区居委会</w:t>
            </w:r>
            <w:r>
              <w:rPr>
                <w:sz w:val="24"/>
              </w:rPr>
              <w:t>被列为失信被执行人</w:t>
            </w:r>
            <w:r>
              <w:rPr>
                <w:rFonts w:hint="eastAsia"/>
                <w:sz w:val="24"/>
              </w:rPr>
              <w:t>。</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rPr>
                <w:sz w:val="24"/>
              </w:rPr>
            </w:pPr>
            <w:r>
              <w:rPr>
                <w:rFonts w:hint="eastAsia"/>
                <w:sz w:val="24"/>
                <w:lang w:val="en-US" w:eastAsia="zh-CN"/>
              </w:rPr>
              <w:t>市</w:t>
            </w:r>
            <w:r>
              <w:rPr>
                <w:sz w:val="24"/>
              </w:rPr>
              <w:t>文明</w:t>
            </w:r>
            <w:r>
              <w:rPr>
                <w:rFonts w:hint="eastAsia"/>
                <w:sz w:val="24"/>
                <w:lang w:val="en-US" w:eastAsia="zh-CN"/>
              </w:rPr>
              <w:t>社区（小区）</w:t>
            </w:r>
            <w:r>
              <w:rPr>
                <w:sz w:val="24"/>
              </w:rPr>
              <w:t>取消荣誉称号；</w:t>
            </w:r>
            <w:r>
              <w:rPr>
                <w:kern w:val="0"/>
                <w:sz w:val="24"/>
              </w:rPr>
              <w:t>申报参评前12个月发生的，取消参评资格。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960" w:type="dxa"/>
            <w:tcBorders>
              <w:top w:val="single" w:color="auto" w:sz="4" w:space="0"/>
              <w:left w:val="single" w:color="auto" w:sz="4" w:space="0"/>
              <w:right w:val="single" w:color="auto" w:sz="4" w:space="0"/>
            </w:tcBorders>
            <w:noWrap w:val="0"/>
            <w:vAlign w:val="center"/>
          </w:tcPr>
          <w:p>
            <w:pPr>
              <w:jc w:val="center"/>
              <w:rPr>
                <w:rFonts w:ascii="宋体" w:hAnsi="宋体"/>
                <w:bCs/>
                <w:sz w:val="24"/>
              </w:rPr>
            </w:pPr>
            <w:r>
              <w:rPr>
                <w:rFonts w:ascii="宋体" w:hAnsi="宋体"/>
                <w:bCs/>
                <w:sz w:val="24"/>
              </w:rPr>
              <w:t>4</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sz w:val="24"/>
                <w:lang w:val="en-US" w:eastAsia="zh-CN"/>
              </w:rPr>
              <w:t>社区</w:t>
            </w:r>
            <w:r>
              <w:rPr>
                <w:rFonts w:hint="eastAsia"/>
                <w:sz w:val="24"/>
              </w:rPr>
              <w:t>“两委”其他</w:t>
            </w:r>
            <w:r>
              <w:rPr>
                <w:sz w:val="24"/>
              </w:rPr>
              <w:t>班子成员2</w:t>
            </w:r>
            <w:r>
              <w:rPr>
                <w:rFonts w:hint="eastAsia"/>
                <w:sz w:val="24"/>
              </w:rPr>
              <w:t>人（含）以下</w:t>
            </w:r>
            <w:r>
              <w:rPr>
                <w:sz w:val="24"/>
              </w:rPr>
              <w:t>严重违纪或违法犯罪</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4"/>
              </w:rPr>
            </w:pPr>
            <w:r>
              <w:rPr>
                <w:rFonts w:hint="eastAsia"/>
                <w:sz w:val="24"/>
                <w:lang w:val="en-US" w:eastAsia="zh-CN"/>
              </w:rPr>
              <w:t>市</w:t>
            </w:r>
            <w:r>
              <w:rPr>
                <w:sz w:val="24"/>
              </w:rPr>
              <w:t>文明</w:t>
            </w:r>
            <w:r>
              <w:rPr>
                <w:rFonts w:hint="eastAsia"/>
                <w:sz w:val="24"/>
                <w:lang w:val="en-US" w:eastAsia="zh-CN"/>
              </w:rPr>
              <w:t>社区（小区）</w:t>
            </w:r>
            <w:r>
              <w:rPr>
                <w:rFonts w:hint="eastAsia"/>
                <w:sz w:val="24"/>
              </w:rPr>
              <w:t>黄牌警告</w:t>
            </w:r>
            <w:r>
              <w:rPr>
                <w:sz w:val="24"/>
              </w:rPr>
              <w:t>；</w:t>
            </w:r>
            <w:r>
              <w:rPr>
                <w:kern w:val="0"/>
                <w:sz w:val="24"/>
              </w:rPr>
              <w:t>申报参评前12个月发生的，每1</w:t>
            </w:r>
            <w:r>
              <w:rPr>
                <w:rFonts w:hint="eastAsia"/>
                <w:kern w:val="0"/>
                <w:sz w:val="24"/>
              </w:rPr>
              <w:t>人次</w:t>
            </w:r>
            <w:r>
              <w:rPr>
                <w:kern w:val="0"/>
                <w:sz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jc w:val="center"/>
        </w:trPr>
        <w:tc>
          <w:tcPr>
            <w:tcW w:w="960" w:type="dxa"/>
            <w:tcBorders>
              <w:top w:val="single" w:color="auto" w:sz="4" w:space="0"/>
              <w:left w:val="single" w:color="auto" w:sz="4" w:space="0"/>
              <w:right w:val="single" w:color="auto" w:sz="4" w:space="0"/>
            </w:tcBorders>
            <w:noWrap w:val="0"/>
            <w:vAlign w:val="center"/>
          </w:tcPr>
          <w:p>
            <w:pPr>
              <w:jc w:val="center"/>
              <w:rPr>
                <w:rFonts w:ascii="宋体" w:hAnsi="宋体"/>
                <w:bCs/>
                <w:sz w:val="24"/>
              </w:rPr>
            </w:pPr>
            <w:r>
              <w:rPr>
                <w:rFonts w:ascii="宋体" w:hAnsi="宋体"/>
                <w:bCs/>
                <w:sz w:val="24"/>
              </w:rPr>
              <w:t>5</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4"/>
              </w:rPr>
            </w:pPr>
            <w:r>
              <w:rPr>
                <w:kern w:val="0"/>
                <w:sz w:val="24"/>
              </w:rPr>
              <w:t>发生重大安全生产、环境</w:t>
            </w:r>
            <w:r>
              <w:rPr>
                <w:rFonts w:hint="eastAsia"/>
                <w:kern w:val="0"/>
                <w:sz w:val="24"/>
              </w:rPr>
              <w:t>污染</w:t>
            </w:r>
            <w:r>
              <w:rPr>
                <w:kern w:val="0"/>
                <w:sz w:val="24"/>
              </w:rPr>
              <w:t>、农产品食品药品安全事故、重大群体性事件、</w:t>
            </w:r>
            <w:r>
              <w:rPr>
                <w:rFonts w:hint="eastAsia"/>
                <w:kern w:val="0"/>
                <w:sz w:val="24"/>
              </w:rPr>
              <w:t>重大舆情事件或</w:t>
            </w:r>
            <w:r>
              <w:rPr>
                <w:kern w:val="0"/>
                <w:sz w:val="24"/>
              </w:rPr>
              <w:t>破坏自然资源重大案件</w:t>
            </w:r>
            <w:r>
              <w:rPr>
                <w:rFonts w:hint="eastAsia"/>
                <w:kern w:val="0"/>
                <w:sz w:val="24"/>
              </w:rPr>
              <w:t>，</w:t>
            </w:r>
            <w:r>
              <w:rPr>
                <w:kern w:val="0"/>
                <w:sz w:val="24"/>
              </w:rPr>
              <w:t>或发生聚集性重大传染病事件及其他影响公共健康安全的事件</w:t>
            </w:r>
            <w:r>
              <w:rPr>
                <w:rFonts w:hint="eastAsia"/>
                <w:kern w:val="0"/>
                <w:sz w:val="24"/>
              </w:rPr>
              <w:t>。</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rPr>
                <w:kern w:val="0"/>
                <w:sz w:val="24"/>
              </w:rPr>
            </w:pPr>
            <w:r>
              <w:rPr>
                <w:rFonts w:hint="eastAsia"/>
                <w:sz w:val="24"/>
                <w:lang w:val="en-US" w:eastAsia="zh-CN"/>
              </w:rPr>
              <w:t>市</w:t>
            </w:r>
            <w:r>
              <w:rPr>
                <w:sz w:val="24"/>
              </w:rPr>
              <w:t>文明</w:t>
            </w:r>
            <w:r>
              <w:rPr>
                <w:rFonts w:hint="eastAsia"/>
                <w:sz w:val="24"/>
                <w:lang w:val="en-US" w:eastAsia="zh-CN"/>
              </w:rPr>
              <w:t>社区（小区）</w:t>
            </w:r>
            <w:r>
              <w:rPr>
                <w:kern w:val="0"/>
                <w:sz w:val="24"/>
              </w:rPr>
              <w:t>发生任何一项</w:t>
            </w:r>
            <w:r>
              <w:rPr>
                <w:rFonts w:hint="eastAsia"/>
                <w:kern w:val="0"/>
                <w:sz w:val="24"/>
              </w:rPr>
              <w:t>即</w:t>
            </w:r>
            <w:r>
              <w:rPr>
                <w:kern w:val="0"/>
                <w:sz w:val="24"/>
              </w:rPr>
              <w:t>取消荣誉称号；申报参评前12个月发生的，取消参评资格。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960" w:type="dxa"/>
            <w:tcBorders>
              <w:left w:val="single" w:color="auto" w:sz="4" w:space="0"/>
              <w:bottom w:val="single" w:color="auto" w:sz="4" w:space="0"/>
              <w:right w:val="single" w:color="auto" w:sz="4" w:space="0"/>
            </w:tcBorders>
            <w:noWrap w:val="0"/>
            <w:vAlign w:val="center"/>
          </w:tcPr>
          <w:p>
            <w:pPr>
              <w:jc w:val="center"/>
              <w:rPr>
                <w:rFonts w:ascii="宋体" w:hAnsi="宋体"/>
                <w:bCs/>
                <w:sz w:val="24"/>
              </w:rPr>
            </w:pPr>
            <w:r>
              <w:rPr>
                <w:rFonts w:ascii="宋体" w:hAnsi="宋体"/>
                <w:bCs/>
                <w:sz w:val="24"/>
              </w:rPr>
              <w:t>6</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4"/>
              </w:rPr>
            </w:pPr>
            <w:r>
              <w:rPr>
                <w:kern w:val="0"/>
                <w:sz w:val="24"/>
              </w:rPr>
              <w:t>发生影响恶劣的</w:t>
            </w:r>
            <w:r>
              <w:rPr>
                <w:rFonts w:hint="eastAsia"/>
                <w:kern w:val="0"/>
                <w:sz w:val="24"/>
              </w:rPr>
              <w:t>“</w:t>
            </w:r>
            <w:r>
              <w:rPr>
                <w:kern w:val="0"/>
                <w:sz w:val="24"/>
              </w:rPr>
              <w:t>黄赌毒</w:t>
            </w:r>
            <w:r>
              <w:rPr>
                <w:rFonts w:hint="eastAsia"/>
                <w:kern w:val="0"/>
                <w:sz w:val="24"/>
              </w:rPr>
              <w:t>”、</w:t>
            </w:r>
            <w:r>
              <w:rPr>
                <w:kern w:val="0"/>
                <w:sz w:val="24"/>
              </w:rPr>
              <w:t>涉黑涉恶案件</w:t>
            </w:r>
            <w:r>
              <w:rPr>
                <w:rFonts w:hint="eastAsia"/>
                <w:kern w:val="0"/>
                <w:sz w:val="24"/>
              </w:rPr>
              <w:t>，或发生拐卖、虐待、暴力伤害妇女、儿童、残疾人等案件并造成重大社会负面影响，或发生</w:t>
            </w:r>
            <w:r>
              <w:rPr>
                <w:kern w:val="0"/>
                <w:sz w:val="24"/>
              </w:rPr>
              <w:t>邪教、非法宗教活动或与精神文明建设要求极不相符的其他事件</w:t>
            </w:r>
            <w:r>
              <w:rPr>
                <w:rFonts w:hint="eastAsia"/>
                <w:kern w:val="0"/>
                <w:sz w:val="24"/>
              </w:rPr>
              <w:t>。</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rPr>
                <w:kern w:val="0"/>
                <w:sz w:val="24"/>
              </w:rPr>
            </w:pPr>
            <w:r>
              <w:rPr>
                <w:rFonts w:hint="eastAsia"/>
                <w:sz w:val="24"/>
                <w:lang w:val="en-US" w:eastAsia="zh-CN"/>
              </w:rPr>
              <w:t>市</w:t>
            </w:r>
            <w:r>
              <w:rPr>
                <w:sz w:val="24"/>
              </w:rPr>
              <w:t>文明</w:t>
            </w:r>
            <w:r>
              <w:rPr>
                <w:rFonts w:hint="eastAsia"/>
                <w:sz w:val="24"/>
                <w:lang w:val="en-US" w:eastAsia="zh-CN"/>
              </w:rPr>
              <w:t>社区（小区）</w:t>
            </w:r>
            <w:r>
              <w:rPr>
                <w:kern w:val="0"/>
                <w:sz w:val="24"/>
              </w:rPr>
              <w:t>发生任何一项</w:t>
            </w:r>
            <w:r>
              <w:rPr>
                <w:rFonts w:hint="eastAsia"/>
                <w:kern w:val="0"/>
                <w:sz w:val="24"/>
              </w:rPr>
              <w:t>即</w:t>
            </w:r>
            <w:r>
              <w:rPr>
                <w:kern w:val="0"/>
                <w:sz w:val="24"/>
              </w:rPr>
              <w:t>取消荣誉称号；申报参评前12个月发生的，取消参评资格。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960" w:type="dxa"/>
            <w:tcBorders>
              <w:top w:val="single" w:color="auto" w:sz="4" w:space="0"/>
              <w:left w:val="single" w:color="auto" w:sz="4" w:space="0"/>
              <w:right w:val="single" w:color="auto" w:sz="4" w:space="0"/>
            </w:tcBorders>
            <w:noWrap w:val="0"/>
            <w:vAlign w:val="center"/>
          </w:tcPr>
          <w:p>
            <w:pPr>
              <w:jc w:val="center"/>
              <w:rPr>
                <w:rFonts w:ascii="宋体" w:hAnsi="宋体"/>
                <w:bCs/>
                <w:sz w:val="24"/>
              </w:rPr>
            </w:pPr>
            <w:r>
              <w:rPr>
                <w:rFonts w:ascii="宋体" w:hAnsi="宋体"/>
                <w:bCs/>
                <w:sz w:val="24"/>
              </w:rPr>
              <w:t>7</w:t>
            </w:r>
          </w:p>
        </w:tc>
        <w:tc>
          <w:tcPr>
            <w:tcW w:w="784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4"/>
              </w:rPr>
            </w:pPr>
            <w:r>
              <w:rPr>
                <w:kern w:val="0"/>
                <w:sz w:val="24"/>
              </w:rPr>
              <w:t>在创建中发生形式主义</w:t>
            </w:r>
            <w:r>
              <w:rPr>
                <w:rFonts w:hint="eastAsia"/>
                <w:kern w:val="0"/>
                <w:sz w:val="24"/>
              </w:rPr>
              <w:t>、</w:t>
            </w:r>
            <w:r>
              <w:rPr>
                <w:kern w:val="0"/>
                <w:sz w:val="24"/>
              </w:rPr>
              <w:t>官僚主义</w:t>
            </w:r>
            <w:r>
              <w:rPr>
                <w:rFonts w:hint="eastAsia"/>
                <w:kern w:val="0"/>
                <w:sz w:val="24"/>
              </w:rPr>
              <w:t>、</w:t>
            </w:r>
            <w:r>
              <w:rPr>
                <w:kern w:val="0"/>
                <w:sz w:val="24"/>
              </w:rPr>
              <w:t>突击迎检或严重干扰群众正常生产生活问题</w:t>
            </w:r>
            <w:r>
              <w:rPr>
                <w:rFonts w:hint="eastAsia"/>
                <w:kern w:val="0"/>
                <w:sz w:val="24"/>
              </w:rPr>
              <w:t>，或</w:t>
            </w:r>
            <w:r>
              <w:rPr>
                <w:kern w:val="0"/>
                <w:sz w:val="24"/>
              </w:rPr>
              <w:t>在考评</w:t>
            </w:r>
            <w:r>
              <w:rPr>
                <w:rFonts w:hint="eastAsia"/>
                <w:kern w:val="0"/>
                <w:sz w:val="24"/>
              </w:rPr>
              <w:t>测评</w:t>
            </w:r>
            <w:r>
              <w:rPr>
                <w:kern w:val="0"/>
                <w:sz w:val="24"/>
              </w:rPr>
              <w:t>中隐瞒事实、弄虚作假</w:t>
            </w:r>
            <w:r>
              <w:rPr>
                <w:rFonts w:hint="eastAsia"/>
                <w:kern w:val="0"/>
                <w:sz w:val="24"/>
              </w:rPr>
              <w:t>，或</w:t>
            </w:r>
            <w:r>
              <w:rPr>
                <w:kern w:val="0"/>
                <w:sz w:val="24"/>
              </w:rPr>
              <w:t>发生影响</w:t>
            </w:r>
            <w:r>
              <w:rPr>
                <w:rFonts w:hint="eastAsia"/>
                <w:kern w:val="0"/>
                <w:sz w:val="24"/>
              </w:rPr>
              <w:t>全国</w:t>
            </w:r>
            <w:r>
              <w:rPr>
                <w:kern w:val="0"/>
                <w:sz w:val="24"/>
              </w:rPr>
              <w:t>文明城市</w:t>
            </w:r>
            <w:r>
              <w:rPr>
                <w:rFonts w:hint="eastAsia"/>
                <w:kern w:val="0"/>
                <w:sz w:val="24"/>
              </w:rPr>
              <w:t>测评</w:t>
            </w:r>
            <w:r>
              <w:rPr>
                <w:kern w:val="0"/>
                <w:sz w:val="24"/>
              </w:rPr>
              <w:t>重大问题</w:t>
            </w:r>
            <w:r>
              <w:rPr>
                <w:rFonts w:hint="eastAsia"/>
                <w:kern w:val="0"/>
                <w:sz w:val="24"/>
              </w:rPr>
              <w:t>。</w:t>
            </w:r>
          </w:p>
        </w:tc>
        <w:tc>
          <w:tcPr>
            <w:tcW w:w="4460" w:type="dxa"/>
            <w:tcBorders>
              <w:top w:val="single" w:color="auto" w:sz="4" w:space="0"/>
              <w:left w:val="single" w:color="auto" w:sz="4" w:space="0"/>
              <w:bottom w:val="single" w:color="auto" w:sz="4" w:space="0"/>
              <w:right w:val="single" w:color="auto" w:sz="4" w:space="0"/>
            </w:tcBorders>
            <w:noWrap w:val="0"/>
            <w:vAlign w:val="center"/>
          </w:tcPr>
          <w:p>
            <w:pPr>
              <w:rPr>
                <w:kern w:val="0"/>
                <w:sz w:val="24"/>
              </w:rPr>
            </w:pPr>
            <w:r>
              <w:rPr>
                <w:rFonts w:hint="eastAsia"/>
                <w:sz w:val="24"/>
                <w:lang w:val="en-US" w:eastAsia="zh-CN"/>
              </w:rPr>
              <w:t>市</w:t>
            </w:r>
            <w:r>
              <w:rPr>
                <w:sz w:val="24"/>
              </w:rPr>
              <w:t>文明</w:t>
            </w:r>
            <w:r>
              <w:rPr>
                <w:rFonts w:hint="eastAsia"/>
                <w:sz w:val="24"/>
                <w:lang w:val="en-US" w:eastAsia="zh-CN"/>
              </w:rPr>
              <w:t>社区（小区）</w:t>
            </w:r>
            <w:r>
              <w:rPr>
                <w:sz w:val="24"/>
              </w:rPr>
              <w:t>取消荣誉称号；申报参评前12个月发生的，取消参评资格。</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仿宋_GB2312" w:hAnsi="仿宋_GB2312" w:eastAsia="仿宋_GB2312" w:cs="仿宋_GB2312"/>
          <w:sz w:val="32"/>
          <w:szCs w:val="32"/>
          <w:lang w:val="en-US"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大宋简">
    <w:panose1 w:val="02010600000101010101"/>
    <w:charset w:val="86"/>
    <w:family w:val="modern"/>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 w:name="汉仪大黑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w:t>
    </w:r>
    <w:r>
      <w:rPr>
        <w:rFonts w:ascii="宋体" w:hAnsi="宋体"/>
        <w:sz w:val="24"/>
      </w:rPr>
      <w:t xml:space="preserve"> 6 -</w:t>
    </w:r>
    <w:r>
      <w:rPr>
        <w:rFonts w:ascii="宋体" w:hAnsi="宋体"/>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WMwNmE5OWZkNDQwZDhlZjFmZjNhZGMzMWU3ZGYifQ=="/>
  </w:docVars>
  <w:rsids>
    <w:rsidRoot w:val="02F2255D"/>
    <w:rsid w:val="00F51F3D"/>
    <w:rsid w:val="01CA5CC8"/>
    <w:rsid w:val="02F2255D"/>
    <w:rsid w:val="07F37113"/>
    <w:rsid w:val="0AE338A8"/>
    <w:rsid w:val="0CD45FD7"/>
    <w:rsid w:val="10342EAD"/>
    <w:rsid w:val="109F789A"/>
    <w:rsid w:val="1517558E"/>
    <w:rsid w:val="15EC59A4"/>
    <w:rsid w:val="16D7F68E"/>
    <w:rsid w:val="19AA0FFC"/>
    <w:rsid w:val="19C56323"/>
    <w:rsid w:val="1A8B28B3"/>
    <w:rsid w:val="1BFF3869"/>
    <w:rsid w:val="20162811"/>
    <w:rsid w:val="21A1163F"/>
    <w:rsid w:val="26DFF9AF"/>
    <w:rsid w:val="296879F1"/>
    <w:rsid w:val="29C20C89"/>
    <w:rsid w:val="2B053749"/>
    <w:rsid w:val="2B7D5675"/>
    <w:rsid w:val="2D795D39"/>
    <w:rsid w:val="2E3E3FD1"/>
    <w:rsid w:val="2EB6049D"/>
    <w:rsid w:val="33A90C4E"/>
    <w:rsid w:val="395E4FA0"/>
    <w:rsid w:val="3D404AB5"/>
    <w:rsid w:val="41FE0437"/>
    <w:rsid w:val="45B63B66"/>
    <w:rsid w:val="45CA1469"/>
    <w:rsid w:val="49DA7F8C"/>
    <w:rsid w:val="4E406CC8"/>
    <w:rsid w:val="4F3B7292"/>
    <w:rsid w:val="4FBE56E7"/>
    <w:rsid w:val="51F06CF2"/>
    <w:rsid w:val="53F9AACD"/>
    <w:rsid w:val="576469B4"/>
    <w:rsid w:val="5928632B"/>
    <w:rsid w:val="5BCF4C92"/>
    <w:rsid w:val="5C9F1C2A"/>
    <w:rsid w:val="5FF81B87"/>
    <w:rsid w:val="605325BC"/>
    <w:rsid w:val="682532A2"/>
    <w:rsid w:val="68F1169F"/>
    <w:rsid w:val="6A002A4A"/>
    <w:rsid w:val="6EFA4879"/>
    <w:rsid w:val="71F9E79F"/>
    <w:rsid w:val="743257B4"/>
    <w:rsid w:val="76925728"/>
    <w:rsid w:val="77356C84"/>
    <w:rsid w:val="77DB57D9"/>
    <w:rsid w:val="79555E70"/>
    <w:rsid w:val="7AF86121"/>
    <w:rsid w:val="7E7EF265"/>
    <w:rsid w:val="7FF21A3C"/>
    <w:rsid w:val="AADF73CA"/>
    <w:rsid w:val="AFCFFE8C"/>
    <w:rsid w:val="AFDFCC82"/>
    <w:rsid w:val="B1FB125B"/>
    <w:rsid w:val="B5DE3C42"/>
    <w:rsid w:val="BBDE4604"/>
    <w:rsid w:val="BE1F6413"/>
    <w:rsid w:val="D7F229DE"/>
    <w:rsid w:val="E7BEF925"/>
    <w:rsid w:val="ECBF779C"/>
    <w:rsid w:val="EF3B243B"/>
    <w:rsid w:val="FC61D41F"/>
    <w:rsid w:val="FCE8310E"/>
    <w:rsid w:val="FE9BC8A1"/>
    <w:rsid w:val="FFE50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100" w:beforeAutospacing="1" w:after="120"/>
      <w:ind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6"/>
    <w:next w:val="1"/>
    <w:qFormat/>
    <w:uiPriority w:val="0"/>
    <w:pPr>
      <w:spacing w:after="0" w:afterLines="200"/>
      <w:jc w:val="both"/>
    </w:pPr>
    <w:rPr>
      <w:rFonts w:eastAsia="黑体"/>
      <w:b w:val="0"/>
      <w:bCs w:val="0"/>
      <w:sz w:val="28"/>
      <w:szCs w:val="28"/>
    </w:rPr>
  </w:style>
  <w:style w:type="paragraph" w:styleId="6">
    <w:name w:val="Title"/>
    <w:basedOn w:val="1"/>
    <w:qFormat/>
    <w:uiPriority w:val="0"/>
    <w:pPr>
      <w:spacing w:before="240" w:after="60"/>
      <w:jc w:val="center"/>
      <w:outlineLvl w:val="0"/>
    </w:pPr>
    <w:rPr>
      <w:rFonts w:ascii="Arial" w:hAnsi="Arial" w:cs="Arial"/>
      <w:b/>
      <w:bCs/>
      <w:sz w:val="32"/>
      <w:szCs w:val="32"/>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3616</Words>
  <Characters>3665</Characters>
  <Lines>0</Lines>
  <Paragraphs>0</Paragraphs>
  <TotalTime>19</TotalTime>
  <ScaleCrop>false</ScaleCrop>
  <LinksUpToDate>false</LinksUpToDate>
  <CharactersWithSpaces>3684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2022-06-28T23:19:00Z</dcterms:created>
  <dc:creator>方小方</dc:creator>
  <cp:lastModifiedBy>xjkp</cp:lastModifiedBy>
  <dcterms:modified xsi:type="dcterms:W3CDTF">2022-06-30T16:15:52Z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F4C27F18D15441D4A6E75CE0EA4000A7</vt:lpwstr>
  </property>
</Properties>
</file>